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:rsidR="00725338" w:rsidRDefault="00717CFF" w:rsidP="00C54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8F1658" w:rsidRPr="008F1658">
        <w:rPr>
          <w:rFonts w:ascii="Arial" w:hAnsi="Arial" w:cs="Arial"/>
          <w:sz w:val="24"/>
          <w:szCs w:val="24"/>
        </w:rPr>
        <w:t xml:space="preserve">Registro </w:t>
      </w:r>
      <w:r w:rsidR="008F1658">
        <w:rPr>
          <w:rFonts w:ascii="Arial" w:hAnsi="Arial" w:cs="Arial"/>
          <w:sz w:val="24"/>
          <w:szCs w:val="24"/>
        </w:rPr>
        <w:t>d</w:t>
      </w:r>
      <w:r w:rsidR="008F1658" w:rsidRPr="008F1658">
        <w:rPr>
          <w:rFonts w:ascii="Arial" w:hAnsi="Arial" w:cs="Arial"/>
          <w:sz w:val="24"/>
          <w:szCs w:val="24"/>
        </w:rPr>
        <w:t xml:space="preserve">e </w:t>
      </w:r>
      <w:r w:rsidR="008F1658">
        <w:rPr>
          <w:rFonts w:ascii="Arial" w:hAnsi="Arial" w:cs="Arial"/>
          <w:sz w:val="24"/>
          <w:szCs w:val="24"/>
        </w:rPr>
        <w:t>r</w:t>
      </w:r>
      <w:r w:rsidR="008F1658" w:rsidRPr="008F1658">
        <w:rPr>
          <w:rFonts w:ascii="Arial" w:hAnsi="Arial" w:cs="Arial"/>
          <w:sz w:val="24"/>
          <w:szCs w:val="24"/>
        </w:rPr>
        <w:t xml:space="preserve">ecolección </w:t>
      </w:r>
      <w:r w:rsidR="008F1658">
        <w:rPr>
          <w:rFonts w:ascii="Arial" w:hAnsi="Arial" w:cs="Arial"/>
          <w:sz w:val="24"/>
          <w:szCs w:val="24"/>
        </w:rPr>
        <w:t>y</w:t>
      </w:r>
      <w:r w:rsidR="008F1658" w:rsidRPr="008F1658">
        <w:rPr>
          <w:rFonts w:ascii="Arial" w:hAnsi="Arial" w:cs="Arial"/>
          <w:sz w:val="24"/>
          <w:szCs w:val="24"/>
        </w:rPr>
        <w:t xml:space="preserve"> </w:t>
      </w:r>
      <w:r w:rsidR="008F1658">
        <w:rPr>
          <w:rFonts w:ascii="Arial" w:hAnsi="Arial" w:cs="Arial"/>
          <w:sz w:val="24"/>
          <w:szCs w:val="24"/>
        </w:rPr>
        <w:t>t</w:t>
      </w:r>
      <w:r w:rsidR="008F1658" w:rsidRPr="008F1658">
        <w:rPr>
          <w:rFonts w:ascii="Arial" w:hAnsi="Arial" w:cs="Arial"/>
          <w:sz w:val="24"/>
          <w:szCs w:val="24"/>
        </w:rPr>
        <w:t xml:space="preserve">ransporte </w:t>
      </w:r>
      <w:r w:rsidR="008F1658">
        <w:rPr>
          <w:rFonts w:ascii="Arial" w:hAnsi="Arial" w:cs="Arial"/>
          <w:sz w:val="24"/>
          <w:szCs w:val="24"/>
        </w:rPr>
        <w:t>de</w:t>
      </w:r>
      <w:r w:rsidR="008F1658" w:rsidRPr="008F1658">
        <w:rPr>
          <w:rFonts w:ascii="Arial" w:hAnsi="Arial" w:cs="Arial"/>
          <w:sz w:val="24"/>
          <w:szCs w:val="24"/>
        </w:rPr>
        <w:t xml:space="preserve"> </w:t>
      </w:r>
      <w:r w:rsidR="008F1658">
        <w:rPr>
          <w:rFonts w:ascii="Arial" w:hAnsi="Arial" w:cs="Arial"/>
          <w:sz w:val="24"/>
          <w:szCs w:val="24"/>
        </w:rPr>
        <w:t xml:space="preserve">los </w:t>
      </w:r>
      <w:r w:rsidR="008F1658" w:rsidRPr="008F1658">
        <w:rPr>
          <w:rFonts w:ascii="Arial" w:hAnsi="Arial" w:cs="Arial"/>
          <w:sz w:val="24"/>
          <w:szCs w:val="24"/>
        </w:rPr>
        <w:t xml:space="preserve">Residuos Sólidos </w:t>
      </w:r>
      <w:r w:rsidR="008F1658">
        <w:rPr>
          <w:rFonts w:ascii="Arial" w:hAnsi="Arial" w:cs="Arial"/>
          <w:sz w:val="24"/>
          <w:szCs w:val="24"/>
        </w:rPr>
        <w:t>a</w:t>
      </w:r>
      <w:r w:rsidR="008F1658" w:rsidRPr="008F1658">
        <w:rPr>
          <w:rFonts w:ascii="Arial" w:hAnsi="Arial" w:cs="Arial"/>
          <w:sz w:val="24"/>
          <w:szCs w:val="24"/>
        </w:rPr>
        <w:t xml:space="preserve"> </w:t>
      </w:r>
      <w:r w:rsidR="008F1658">
        <w:rPr>
          <w:rFonts w:ascii="Arial" w:hAnsi="Arial" w:cs="Arial"/>
          <w:sz w:val="24"/>
          <w:szCs w:val="24"/>
        </w:rPr>
        <w:t>c</w:t>
      </w:r>
      <w:r w:rsidR="008F1658" w:rsidRPr="008F1658">
        <w:rPr>
          <w:rFonts w:ascii="Arial" w:hAnsi="Arial" w:cs="Arial"/>
          <w:sz w:val="24"/>
          <w:szCs w:val="24"/>
        </w:rPr>
        <w:t xml:space="preserve">argo </w:t>
      </w:r>
      <w:r w:rsidR="008F1658">
        <w:rPr>
          <w:rFonts w:ascii="Arial" w:hAnsi="Arial" w:cs="Arial"/>
          <w:sz w:val="24"/>
          <w:szCs w:val="24"/>
        </w:rPr>
        <w:t>d</w:t>
      </w:r>
      <w:r w:rsidR="008F1658" w:rsidRPr="008F1658">
        <w:rPr>
          <w:rFonts w:ascii="Arial" w:hAnsi="Arial" w:cs="Arial"/>
          <w:sz w:val="24"/>
          <w:szCs w:val="24"/>
        </w:rPr>
        <w:t xml:space="preserve">e </w:t>
      </w:r>
      <w:r w:rsidR="008F1658">
        <w:rPr>
          <w:rFonts w:ascii="Arial" w:hAnsi="Arial" w:cs="Arial"/>
          <w:sz w:val="24"/>
          <w:szCs w:val="24"/>
        </w:rPr>
        <w:t>l</w:t>
      </w:r>
      <w:r w:rsidR="008F1658" w:rsidRPr="008F1658">
        <w:rPr>
          <w:rFonts w:ascii="Arial" w:hAnsi="Arial" w:cs="Arial"/>
          <w:sz w:val="24"/>
          <w:szCs w:val="24"/>
        </w:rPr>
        <w:t xml:space="preserve">a Municipalidad Provincial </w:t>
      </w:r>
      <w:r w:rsidR="008F1658">
        <w:rPr>
          <w:rFonts w:ascii="Arial" w:hAnsi="Arial" w:cs="Arial"/>
          <w:sz w:val="24"/>
          <w:szCs w:val="24"/>
        </w:rPr>
        <w:t>d</w:t>
      </w:r>
      <w:r w:rsidR="008F1658" w:rsidRPr="008F1658">
        <w:rPr>
          <w:rFonts w:ascii="Arial" w:hAnsi="Arial" w:cs="Arial"/>
          <w:sz w:val="24"/>
          <w:szCs w:val="24"/>
        </w:rPr>
        <w:t>e Paita - [MPP]</w:t>
      </w: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:rsidR="00C54CD7" w:rsidRPr="008F1658" w:rsidRDefault="008F1658" w:rsidP="00E32B13">
            <w:pPr>
              <w:rPr>
                <w:rFonts w:ascii="Arial" w:hAnsi="Arial" w:cs="Arial"/>
                <w:sz w:val="20"/>
                <w:szCs w:val="20"/>
              </w:rPr>
            </w:pPr>
            <w:r w:rsidRPr="008F1658">
              <w:rPr>
                <w:rFonts w:ascii="Arial" w:hAnsi="Arial" w:cs="Arial"/>
                <w:sz w:val="20"/>
                <w:szCs w:val="20"/>
              </w:rPr>
              <w:t xml:space="preserve">Registro de recolección y transporte de </w:t>
            </w:r>
            <w:r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8F1658">
              <w:rPr>
                <w:rFonts w:ascii="Arial" w:hAnsi="Arial" w:cs="Arial"/>
                <w:sz w:val="20"/>
                <w:szCs w:val="20"/>
              </w:rPr>
              <w:t>Residuos Sólidos a cargo de la Municipalidad Provincial de Paita - [MPP]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:rsidR="00C54CD7" w:rsidRPr="001579D7" w:rsidRDefault="0074115A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74115A">
              <w:rPr>
                <w:rFonts w:ascii="Arial" w:hAnsi="Arial" w:cs="Arial"/>
                <w:sz w:val="20"/>
                <w:szCs w:val="20"/>
              </w:rPr>
              <w:t>https://www.datosabiertos.gob.pe/dataset/registro-de-recolecci%C3%B3n-y-transporte-de-los-residuos-s%C3%B3lidos-cargo-de-la-municipalidad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8F1658">
              <w:rPr>
                <w:rFonts w:ascii="Arial" w:hAnsi="Arial" w:cs="Arial"/>
                <w:sz w:val="20"/>
                <w:szCs w:val="20"/>
              </w:rPr>
              <w:t>l registro de recolección y transporte de los residuos sólidos</w:t>
            </w:r>
            <w:r w:rsidR="0089269D">
              <w:rPr>
                <w:rFonts w:ascii="Arial" w:hAnsi="Arial" w:cs="Arial"/>
                <w:sz w:val="20"/>
                <w:szCs w:val="20"/>
              </w:rPr>
              <w:t xml:space="preserve"> inorgánicos </w:t>
            </w:r>
            <w:r w:rsidR="008F1658">
              <w:rPr>
                <w:rFonts w:ascii="Arial" w:hAnsi="Arial" w:cs="Arial"/>
                <w:sz w:val="20"/>
                <w:szCs w:val="20"/>
              </w:rPr>
              <w:t>dirigidos hasta la disposición final a cargo de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la Municipalidad Provincial de Paita, correspondiente al período 2023.</w:t>
            </w:r>
          </w:p>
          <w:p w:rsidR="00C54CD7" w:rsidRDefault="00CF17EF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 del parte diario de las operaciones realizadas por el personal obrero y supervisores de la municipalidad asignado al control del servicio de recolección y transporte de residuos sólidos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8F1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:rsidR="0089269D" w:rsidRDefault="0089269D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Departamento, provincia, distrito, </w:t>
            </w:r>
            <w:proofErr w:type="spellStart"/>
            <w:r w:rsidR="00C54CD7" w:rsidRPr="001579D7">
              <w:rPr>
                <w:rFonts w:ascii="Arial" w:hAnsi="Arial" w:cs="Arial"/>
                <w:sz w:val="20"/>
                <w:szCs w:val="20"/>
              </w:rPr>
              <w:t>ubigeo</w:t>
            </w:r>
            <w:proofErr w:type="spellEnd"/>
            <w:r w:rsidR="00C54CD7" w:rsidRPr="001579D7">
              <w:rPr>
                <w:rFonts w:ascii="Arial" w:hAnsi="Arial" w:cs="Arial"/>
                <w:sz w:val="20"/>
                <w:szCs w:val="20"/>
              </w:rPr>
              <w:t>, gobierno local de la entidad.</w:t>
            </w:r>
          </w:p>
          <w:p w:rsidR="00E03EFB" w:rsidRDefault="00E03EFB" w:rsidP="00E03E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89269D">
              <w:rPr>
                <w:rFonts w:ascii="Arial" w:hAnsi="Arial" w:cs="Arial"/>
                <w:b/>
                <w:sz w:val="20"/>
                <w:szCs w:val="20"/>
              </w:rPr>
              <w:t>Parte diario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17EF">
              <w:rPr>
                <w:rFonts w:ascii="Arial" w:hAnsi="Arial" w:cs="Arial"/>
                <w:sz w:val="20"/>
                <w:szCs w:val="20"/>
              </w:rPr>
              <w:t xml:space="preserve">Día recorrido, mes registrado, semana registrada, nombre del día de la semana, </w:t>
            </w:r>
            <w:r w:rsidR="00C54CD7" w:rsidRPr="00E03EFB">
              <w:rPr>
                <w:rFonts w:ascii="Arial" w:hAnsi="Arial" w:cs="Arial"/>
                <w:sz w:val="20"/>
                <w:szCs w:val="20"/>
              </w:rPr>
              <w:t>Código de</w:t>
            </w:r>
            <w:r w:rsidR="00CF1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CD7" w:rsidRPr="00E03EFB">
              <w:rPr>
                <w:rFonts w:ascii="Arial" w:hAnsi="Arial" w:cs="Arial"/>
                <w:sz w:val="20"/>
                <w:szCs w:val="20"/>
              </w:rPr>
              <w:t>l</w:t>
            </w:r>
            <w:r w:rsidR="00CF17EF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CF17EF">
              <w:rPr>
                <w:rFonts w:ascii="Arial" w:hAnsi="Arial" w:cs="Arial"/>
                <w:sz w:val="20"/>
                <w:szCs w:val="20"/>
              </w:rPr>
              <w:t>microruta</w:t>
            </w:r>
            <w:proofErr w:type="spellEnd"/>
            <w:r w:rsidR="00CF17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F17EF">
              <w:rPr>
                <w:rFonts w:ascii="Arial" w:hAnsi="Arial" w:cs="Arial"/>
                <w:sz w:val="20"/>
                <w:szCs w:val="20"/>
              </w:rPr>
              <w:t>microruta</w:t>
            </w:r>
            <w:proofErr w:type="spellEnd"/>
            <w:r w:rsidR="00CF17EF">
              <w:rPr>
                <w:rFonts w:ascii="Arial" w:hAnsi="Arial" w:cs="Arial"/>
                <w:sz w:val="20"/>
                <w:szCs w:val="20"/>
              </w:rPr>
              <w:t xml:space="preserve">, frecuencia de la recolección de los residuos sólidos, </w:t>
            </w:r>
            <w:r w:rsidR="00E76474">
              <w:rPr>
                <w:rFonts w:ascii="Arial" w:hAnsi="Arial" w:cs="Arial"/>
                <w:sz w:val="20"/>
                <w:szCs w:val="20"/>
              </w:rPr>
              <w:t xml:space="preserve">conductor, turno, vehículo, marca, modelo, </w:t>
            </w:r>
            <w:r w:rsidR="00CF17EF">
              <w:rPr>
                <w:rFonts w:ascii="Arial" w:hAnsi="Arial" w:cs="Arial"/>
                <w:sz w:val="20"/>
                <w:szCs w:val="20"/>
              </w:rPr>
              <w:t xml:space="preserve">placa, </w:t>
            </w:r>
            <w:r w:rsidR="00E76474">
              <w:rPr>
                <w:rFonts w:ascii="Arial" w:hAnsi="Arial" w:cs="Arial"/>
                <w:sz w:val="20"/>
                <w:szCs w:val="20"/>
              </w:rPr>
              <w:t xml:space="preserve">capacidad, </w:t>
            </w:r>
            <w:r w:rsidR="00CF17EF">
              <w:rPr>
                <w:rFonts w:ascii="Arial" w:hAnsi="Arial" w:cs="Arial"/>
                <w:sz w:val="20"/>
                <w:szCs w:val="20"/>
              </w:rPr>
              <w:t>número de kilómetros recorridos al día, número de kilómetros recorridos optimizado, porcentaje de residuos sólidos transportados, Total de kilómetros recorridos, total de residuos sólidos recolectados</w:t>
            </w:r>
            <w:r w:rsidR="005415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:rsidR="00C54CD7" w:rsidRPr="001579D7" w:rsidRDefault="00CF17E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CF17EF">
              <w:rPr>
                <w:rFonts w:ascii="Arial" w:hAnsi="Arial" w:cs="Arial"/>
                <w:sz w:val="20"/>
                <w:szCs w:val="20"/>
              </w:rPr>
              <w:t>Unidad de Residuos Sólidos</w:t>
            </w:r>
            <w:bookmarkStart w:id="0" w:name="_GoBack"/>
            <w:bookmarkEnd w:id="0"/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C54CD7" w:rsidRPr="001579D7" w:rsidRDefault="006813D7" w:rsidP="006813D7">
            <w:pPr>
              <w:rPr>
                <w:rFonts w:ascii="Arial" w:hAnsi="Arial" w:cs="Arial"/>
                <w:sz w:val="20"/>
                <w:szCs w:val="20"/>
              </w:rPr>
            </w:pPr>
            <w:r w:rsidRPr="006813D7">
              <w:rPr>
                <w:rFonts w:ascii="Arial" w:hAnsi="Arial" w:cs="Arial"/>
                <w:sz w:val="20"/>
                <w:szCs w:val="20"/>
              </w:rPr>
              <w:t>Gestión Integral de Residuos Sólidos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17EF">
              <w:rPr>
                <w:rFonts w:ascii="Arial" w:hAnsi="Arial" w:cs="Arial"/>
                <w:sz w:val="20"/>
                <w:szCs w:val="20"/>
              </w:rPr>
              <w:t>servicio de recolección</w:t>
            </w:r>
            <w:r>
              <w:rPr>
                <w:rFonts w:ascii="Arial" w:hAnsi="Arial" w:cs="Arial"/>
                <w:sz w:val="20"/>
                <w:szCs w:val="20"/>
              </w:rPr>
              <w:t>, transporte y disposición final de Residuos Sólidos</w:t>
            </w:r>
            <w:r w:rsidR="00C358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6DB8">
              <w:rPr>
                <w:rFonts w:ascii="Arial" w:hAnsi="Arial" w:cs="Arial"/>
                <w:sz w:val="20"/>
                <w:szCs w:val="20"/>
              </w:rPr>
              <w:t>municipal</w:t>
            </w:r>
            <w:r w:rsidR="006143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:rsidR="00C54CD7" w:rsidRPr="001579D7" w:rsidRDefault="00C54CD7" w:rsidP="00E76474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4E2BDF">
              <w:rPr>
                <w:rFonts w:ascii="Arial" w:hAnsi="Arial" w:cs="Arial"/>
                <w:sz w:val="20"/>
                <w:szCs w:val="20"/>
              </w:rPr>
              <w:t>2</w:t>
            </w:r>
            <w:r w:rsidR="00E764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E76474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4E2BD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 w:rsidR="00E7647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:rsidR="00C54CD7" w:rsidRPr="001579D7" w:rsidRDefault="0074115A" w:rsidP="0096212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54CD7"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:rsidR="00C54CD7" w:rsidRPr="001579D7" w:rsidRDefault="004E2BDF" w:rsidP="00E76474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2023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:rsidR="00C54C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D7"/>
    <w:rsid w:val="00074766"/>
    <w:rsid w:val="001579D7"/>
    <w:rsid w:val="004E2BDF"/>
    <w:rsid w:val="00541593"/>
    <w:rsid w:val="00614389"/>
    <w:rsid w:val="00617B21"/>
    <w:rsid w:val="00625EBB"/>
    <w:rsid w:val="006813D7"/>
    <w:rsid w:val="006B5135"/>
    <w:rsid w:val="00717CFF"/>
    <w:rsid w:val="00725338"/>
    <w:rsid w:val="0074115A"/>
    <w:rsid w:val="00774DB8"/>
    <w:rsid w:val="0089269D"/>
    <w:rsid w:val="008F1658"/>
    <w:rsid w:val="00915F1A"/>
    <w:rsid w:val="00996DB8"/>
    <w:rsid w:val="00A145CF"/>
    <w:rsid w:val="00AB448D"/>
    <w:rsid w:val="00C358F0"/>
    <w:rsid w:val="00C54CD7"/>
    <w:rsid w:val="00C60D82"/>
    <w:rsid w:val="00CF17EF"/>
    <w:rsid w:val="00D41D3C"/>
    <w:rsid w:val="00D87589"/>
    <w:rsid w:val="00DB585A"/>
    <w:rsid w:val="00E03EFB"/>
    <w:rsid w:val="00E32B13"/>
    <w:rsid w:val="00E3792B"/>
    <w:rsid w:val="00E76474"/>
    <w:rsid w:val="00E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D0345-E21B-48C4-A757-71AE23D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PC-SUBSISTE01</dc:creator>
  <cp:keywords/>
  <dc:description/>
  <cp:lastModifiedBy>PC-SUBSISTE01</cp:lastModifiedBy>
  <cp:revision>14</cp:revision>
  <dcterms:created xsi:type="dcterms:W3CDTF">2024-04-24T01:36:00Z</dcterms:created>
  <dcterms:modified xsi:type="dcterms:W3CDTF">2024-04-25T22:22:00Z</dcterms:modified>
</cp:coreProperties>
</file>