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CA73" w14:textId="06056B81" w:rsidR="00E55059" w:rsidRPr="00717CED" w:rsidRDefault="00E55059" w:rsidP="00A27593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441BEB7C" w14:textId="0797A5C4" w:rsidR="000C0C13" w:rsidRPr="00A4744B" w:rsidRDefault="001E2C42" w:rsidP="000C0C13">
      <w:pPr>
        <w:rPr>
          <w:lang w:val="es-ES"/>
        </w:rPr>
      </w:pPr>
      <w:r>
        <w:rPr>
          <w:lang w:val="es-ES"/>
        </w:rPr>
        <w:t xml:space="preserve">Metadatos del </w:t>
      </w:r>
      <w:r w:rsidR="00A4744B">
        <w:rPr>
          <w:lang w:val="es-ES"/>
        </w:rPr>
        <w:t>DATASET</w:t>
      </w:r>
      <w:r>
        <w:rPr>
          <w:lang w:val="es-ES"/>
        </w:rPr>
        <w:t xml:space="preserve">: </w:t>
      </w:r>
      <w:r w:rsidR="00A27593" w:rsidRPr="00A4744B">
        <w:rPr>
          <w:lang w:val="es-ES"/>
        </w:rPr>
        <w:t>Inversiones públicas realizadas desde la estimación del costo a nivel de idea por la Municipalidad Distrital de La Punta en el marco del invierte.pe. - [MDLP]</w:t>
      </w:r>
      <w:r w:rsidR="00A4744B">
        <w:rPr>
          <w:lang w:val="es-ES"/>
        </w:rPr>
        <w:t>.</w:t>
      </w:r>
    </w:p>
    <w:p w14:paraId="683C3754" w14:textId="77777777" w:rsidR="000C0C13" w:rsidRDefault="000C0C13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E2C42" w14:paraId="6BD06E09" w14:textId="77777777" w:rsidTr="001E2C42">
        <w:tc>
          <w:tcPr>
            <w:tcW w:w="2689" w:type="dxa"/>
          </w:tcPr>
          <w:p w14:paraId="0D7335B0" w14:textId="65341E7C" w:rsidR="001E2C42" w:rsidRPr="0068076A" w:rsidRDefault="001E2C42">
            <w:pPr>
              <w:rPr>
                <w:b/>
                <w:bCs/>
                <w:lang w:val="es-ES"/>
              </w:rPr>
            </w:pPr>
            <w:r w:rsidRPr="0068076A">
              <w:rPr>
                <w:b/>
                <w:bCs/>
                <w:lang w:val="es-ES"/>
              </w:rPr>
              <w:t>Título</w:t>
            </w:r>
          </w:p>
        </w:tc>
        <w:tc>
          <w:tcPr>
            <w:tcW w:w="5805" w:type="dxa"/>
          </w:tcPr>
          <w:p w14:paraId="17DF47C1" w14:textId="04057FBD" w:rsidR="001E2C42" w:rsidRPr="000C0C13" w:rsidRDefault="00A27593" w:rsidP="00953041">
            <w:pPr>
              <w:jc w:val="both"/>
              <w:rPr>
                <w:rFonts w:ascii="Arial" w:hAnsi="Arial" w:cs="Arial"/>
                <w:color w:val="000000"/>
              </w:rPr>
            </w:pPr>
            <w:r w:rsidRPr="00A4744B">
              <w:rPr>
                <w:lang w:val="es-ES"/>
              </w:rPr>
              <w:t>Inversiones públicas realizadas desde la estimación del costo a nivel de idea por la Municipalidad Distrital de La Punta en el marco del invierte.pe. - [MDLP]</w:t>
            </w:r>
          </w:p>
        </w:tc>
      </w:tr>
      <w:tr w:rsidR="001E2C42" w14:paraId="4AB0B1E0" w14:textId="77777777" w:rsidTr="001E2C42">
        <w:tc>
          <w:tcPr>
            <w:tcW w:w="2689" w:type="dxa"/>
          </w:tcPr>
          <w:p w14:paraId="361A2E94" w14:textId="6C6A8B98" w:rsidR="001E2C42" w:rsidRPr="0068076A" w:rsidRDefault="001E2C42">
            <w:pPr>
              <w:rPr>
                <w:b/>
                <w:bCs/>
                <w:lang w:val="es-ES"/>
              </w:rPr>
            </w:pPr>
            <w:r w:rsidRPr="0068076A">
              <w:rPr>
                <w:b/>
                <w:bCs/>
                <w:lang w:val="es-ES"/>
              </w:rPr>
              <w:t>Título URL Descripción</w:t>
            </w:r>
          </w:p>
        </w:tc>
        <w:tc>
          <w:tcPr>
            <w:tcW w:w="5805" w:type="dxa"/>
          </w:tcPr>
          <w:p w14:paraId="2579BF68" w14:textId="330FB2DA" w:rsidR="001E2C42" w:rsidRDefault="00B849C2" w:rsidP="00953041">
            <w:pPr>
              <w:jc w:val="both"/>
              <w:rPr>
                <w:lang w:val="es-ES"/>
              </w:rPr>
            </w:pPr>
            <w:r w:rsidRPr="00B849C2">
              <w:rPr>
                <w:lang w:val="es-ES"/>
              </w:rPr>
              <w:t>https://www.datosabiertos.gob.pe/dataset/inversiones-p%C3%BAblicas-realizadas-desde-la-estimaci%C3%B3n-del-costo-nivel-de-idea-por-la</w:t>
            </w:r>
          </w:p>
        </w:tc>
      </w:tr>
      <w:tr w:rsidR="001E2C42" w14:paraId="5BF5A818" w14:textId="77777777" w:rsidTr="001E2C42">
        <w:tc>
          <w:tcPr>
            <w:tcW w:w="2689" w:type="dxa"/>
          </w:tcPr>
          <w:p w14:paraId="77A4C7F2" w14:textId="72811A9A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Descripción</w:t>
            </w:r>
          </w:p>
        </w:tc>
        <w:tc>
          <w:tcPr>
            <w:tcW w:w="5805" w:type="dxa"/>
          </w:tcPr>
          <w:p w14:paraId="1235C532" w14:textId="292333B0" w:rsidR="007B2D16" w:rsidRP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Las Inversiones Públicas que se han registrado con el Sistema Nacional de Programación Multianual</w:t>
            </w:r>
            <w:r w:rsidR="00A27593">
              <w:rPr>
                <w:lang w:val="es-ES"/>
              </w:rPr>
              <w:t xml:space="preserve"> </w:t>
            </w:r>
            <w:r w:rsidRPr="007B2D16">
              <w:rPr>
                <w:lang w:val="es-ES"/>
              </w:rPr>
              <w:t xml:space="preserve">y Gestión de Inversiones (Invierte.pe) en el distrito de La Punta han sido, unas </w:t>
            </w:r>
            <w:r w:rsidR="0068076A">
              <w:rPr>
                <w:lang w:val="es-ES"/>
              </w:rPr>
              <w:t>28</w:t>
            </w:r>
            <w:r w:rsidRPr="007B2D16">
              <w:rPr>
                <w:lang w:val="es-ES"/>
              </w:rPr>
              <w:t xml:space="preserve"> inversiones que se encuentran en el período del 201</w:t>
            </w:r>
            <w:r w:rsidR="0026429F">
              <w:rPr>
                <w:lang w:val="es-ES"/>
              </w:rPr>
              <w:t>8</w:t>
            </w:r>
            <w:r w:rsidRPr="007B2D16">
              <w:rPr>
                <w:lang w:val="es-ES"/>
              </w:rPr>
              <w:t xml:space="preserve"> al 202</w:t>
            </w:r>
            <w:r w:rsidR="0068076A">
              <w:rPr>
                <w:lang w:val="es-ES"/>
              </w:rPr>
              <w:t>4</w:t>
            </w:r>
            <w:r w:rsidRPr="007B2D16">
              <w:rPr>
                <w:lang w:val="es-ES"/>
              </w:rPr>
              <w:t>.</w:t>
            </w:r>
          </w:p>
          <w:p w14:paraId="33DAC1F7" w14:textId="3C566EE5" w:rsidR="007B2D16" w:rsidRDefault="0068076A" w:rsidP="007B2D1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Las 28 inversiones han sido realizadas por la Municipalidad Distrital de La </w:t>
            </w:r>
            <w:r w:rsidR="00A4744B">
              <w:rPr>
                <w:lang w:val="es-ES"/>
              </w:rPr>
              <w:t>Punta,</w:t>
            </w:r>
            <w:r>
              <w:rPr>
                <w:lang w:val="es-ES"/>
              </w:rPr>
              <w:t xml:space="preserve"> considerando las que se programaron con la vigencia del Invierte.pe.</w:t>
            </w:r>
          </w:p>
          <w:p w14:paraId="5F0DEF24" w14:textId="77777777" w:rsidR="00D62839" w:rsidRPr="007B2D16" w:rsidRDefault="00D62839" w:rsidP="007B2D16">
            <w:pPr>
              <w:jc w:val="both"/>
              <w:rPr>
                <w:lang w:val="es-ES"/>
              </w:rPr>
            </w:pPr>
          </w:p>
          <w:p w14:paraId="6A500069" w14:textId="0AFCD9E5" w:rsid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La información fue obtenida </w:t>
            </w:r>
            <w:r w:rsidR="00D62839">
              <w:rPr>
                <w:lang w:val="es-ES"/>
              </w:rPr>
              <w:t>a</w:t>
            </w:r>
            <w:r w:rsidRPr="007B2D16">
              <w:rPr>
                <w:lang w:val="es-ES"/>
              </w:rPr>
              <w:t xml:space="preserve">l </w:t>
            </w:r>
            <w:r w:rsidR="0068076A">
              <w:rPr>
                <w:lang w:val="es-ES"/>
              </w:rPr>
              <w:t>17</w:t>
            </w:r>
            <w:r w:rsidRPr="007B2D16">
              <w:rPr>
                <w:lang w:val="es-ES"/>
              </w:rPr>
              <w:t xml:space="preserve"> de </w:t>
            </w:r>
            <w:r w:rsidR="0068076A">
              <w:rPr>
                <w:lang w:val="es-ES"/>
              </w:rPr>
              <w:t>mayo</w:t>
            </w:r>
            <w:r w:rsidRPr="007B2D16">
              <w:rPr>
                <w:lang w:val="es-ES"/>
              </w:rPr>
              <w:t xml:space="preserve"> del 202</w:t>
            </w:r>
            <w:r w:rsidR="0068076A">
              <w:rPr>
                <w:lang w:val="es-ES"/>
              </w:rPr>
              <w:t>4</w:t>
            </w:r>
            <w:r w:rsidRPr="007B2D16">
              <w:rPr>
                <w:lang w:val="es-ES"/>
              </w:rPr>
              <w:t xml:space="preserve"> del portal de Consulta Avanzada de Inversiones del Ministerio de Economía y Finanzas.</w:t>
            </w:r>
          </w:p>
          <w:p w14:paraId="3A1C59A9" w14:textId="77777777" w:rsidR="00D62839" w:rsidRPr="007B2D16" w:rsidRDefault="00D62839" w:rsidP="007B2D16">
            <w:pPr>
              <w:jc w:val="both"/>
              <w:rPr>
                <w:lang w:val="es-ES"/>
              </w:rPr>
            </w:pPr>
          </w:p>
          <w:p w14:paraId="2741014E" w14:textId="03DBE78E" w:rsidR="00D62839" w:rsidRP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Este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 xml:space="preserve"> no considera las inversiones que estaban bajo el antiguo Sistema Nacional de Inversión Pública (SNIP).</w:t>
            </w:r>
          </w:p>
          <w:p w14:paraId="410056FB" w14:textId="260A7D1E" w:rsid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 xml:space="preserve">Con este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 xml:space="preserve"> podremos analizar la información de las inversiones que están divididos en proyectos de inversión e inversiones de optimización, de ampliación marginal, de rehabilitación y de reposición (IOARR), asimismo, podemos conocer qué tipo de  inversiones se han formulado</w:t>
            </w:r>
            <w:r w:rsidR="0026429F">
              <w:rPr>
                <w:lang w:val="es-ES"/>
              </w:rPr>
              <w:t>,</w:t>
            </w:r>
            <w:r w:rsidRPr="007B2D16">
              <w:rPr>
                <w:lang w:val="es-ES"/>
              </w:rPr>
              <w:t xml:space="preserve"> si son proyectos de inversión o solo  IOARR , comparar los montos de viabilidad y los montos actualizados, saber su avance financiero con la información de los devengados, si se encuentran activos o ya se cerraron así como saber si ya se encuentran cerradas o están en proceso.</w:t>
            </w:r>
          </w:p>
          <w:p w14:paraId="16235A49" w14:textId="77777777" w:rsidR="00D62839" w:rsidRPr="007B2D16" w:rsidRDefault="00D62839" w:rsidP="007B2D16">
            <w:pPr>
              <w:jc w:val="both"/>
              <w:rPr>
                <w:lang w:val="es-ES"/>
              </w:rPr>
            </w:pPr>
          </w:p>
          <w:p w14:paraId="4515A044" w14:textId="072B27DD" w:rsid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El Código Único de Inversiones (CUI), es un número único generado en el Banco de Inversiones del MEF que identifican a cada inversión. No pueden haber 2 o más inversiones con el mismo CUI.</w:t>
            </w:r>
          </w:p>
          <w:p w14:paraId="15E9EC6A" w14:textId="77777777" w:rsidR="00D62839" w:rsidRPr="007B2D16" w:rsidRDefault="00D62839" w:rsidP="007B2D16">
            <w:pPr>
              <w:jc w:val="both"/>
              <w:rPr>
                <w:lang w:val="es-ES"/>
              </w:rPr>
            </w:pPr>
          </w:p>
          <w:p w14:paraId="69B23CAC" w14:textId="5B3CF0A2" w:rsidR="007B2D16" w:rsidRP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En la descripción del nombre de la inversión está incluido el tipo de inversión, la brecha del servicio a intervenir y su localización.</w:t>
            </w:r>
          </w:p>
          <w:p w14:paraId="75CE88DE" w14:textId="2E603A74" w:rsid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La Oficina de Programación Multianual de Inversiones (OPMI), la Unidad Ejecutora de inversiones (UEI) y la Unidad Formuladora (UF) son unidades dentro de las fases del invierte.pe que cautelan las inversiones de la entidad teniendo diferentes funciones específicas.</w:t>
            </w:r>
          </w:p>
          <w:p w14:paraId="31DA9CB7" w14:textId="77777777" w:rsidR="00D62839" w:rsidRPr="007B2D16" w:rsidRDefault="00D62839" w:rsidP="007B2D16">
            <w:pPr>
              <w:jc w:val="both"/>
              <w:rPr>
                <w:lang w:val="es-ES"/>
              </w:rPr>
            </w:pPr>
          </w:p>
          <w:p w14:paraId="0F65AC8E" w14:textId="09007573" w:rsidR="007B2D16" w:rsidRPr="007B2D16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lastRenderedPageBreak/>
              <w:t xml:space="preserve">En el </w:t>
            </w:r>
            <w:proofErr w:type="spellStart"/>
            <w:r w:rsidRPr="007B2D16">
              <w:rPr>
                <w:lang w:val="es-ES"/>
              </w:rPr>
              <w:t>Dataset</w:t>
            </w:r>
            <w:proofErr w:type="spellEnd"/>
            <w:r w:rsidRPr="007B2D16">
              <w:rPr>
                <w:lang w:val="es-ES"/>
              </w:rPr>
              <w:t>, cuando la inversión es proyecto de inversión se indican la cantidad de beneficiarios y las alternativas de solución, si es IOARR se deja en blanco</w:t>
            </w:r>
            <w:r w:rsidR="004F7A90">
              <w:rPr>
                <w:lang w:val="es-ES"/>
              </w:rPr>
              <w:t xml:space="preserve"> el registro</w:t>
            </w:r>
            <w:r w:rsidRPr="007B2D16">
              <w:rPr>
                <w:lang w:val="es-ES"/>
              </w:rPr>
              <w:t>.</w:t>
            </w:r>
          </w:p>
          <w:p w14:paraId="5FFD9053" w14:textId="77777777" w:rsidR="001E2C42" w:rsidRDefault="007B2D16" w:rsidP="007B2D16">
            <w:pPr>
              <w:jc w:val="both"/>
              <w:rPr>
                <w:lang w:val="es-ES"/>
              </w:rPr>
            </w:pPr>
            <w:r w:rsidRPr="007B2D16">
              <w:rPr>
                <w:lang w:val="es-ES"/>
              </w:rPr>
              <w:t>Finalmente, se indica el Presupuesto Institucional Modificado (PIM), los devengados acumulados y los saldos a financiar para cada inversión.</w:t>
            </w:r>
          </w:p>
          <w:p w14:paraId="35AFB62C" w14:textId="77777777" w:rsidR="00D62839" w:rsidRDefault="00D62839" w:rsidP="007B2D16">
            <w:pPr>
              <w:jc w:val="both"/>
              <w:rPr>
                <w:lang w:val="es-ES"/>
              </w:rPr>
            </w:pPr>
          </w:p>
          <w:p w14:paraId="05F5B16E" w14:textId="7425A682" w:rsidR="00D62839" w:rsidRDefault="00D62839" w:rsidP="007B2D1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Este </w:t>
            </w:r>
            <w:proofErr w:type="spellStart"/>
            <w:r>
              <w:rPr>
                <w:lang w:val="es-ES"/>
              </w:rPr>
              <w:t>Dataset</w:t>
            </w:r>
            <w:proofErr w:type="spellEnd"/>
            <w:r>
              <w:rPr>
                <w:lang w:val="es-ES"/>
              </w:rPr>
              <w:t xml:space="preserve"> está caracterizado </w:t>
            </w:r>
            <w:r w:rsidR="00A4744B">
              <w:rPr>
                <w:lang w:val="es-ES"/>
              </w:rPr>
              <w:t>por:</w:t>
            </w:r>
          </w:p>
          <w:p w14:paraId="6AA715B8" w14:textId="4905284F" w:rsidR="00D62839" w:rsidRDefault="00D62839" w:rsidP="00D62839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 w:rsidRPr="00D62839">
              <w:rPr>
                <w:lang w:val="es-ES"/>
              </w:rPr>
              <w:t>Datos de la entidad</w:t>
            </w:r>
            <w:r>
              <w:rPr>
                <w:lang w:val="es-ES"/>
              </w:rPr>
              <w:t>: Departamento, Provincia, Distrito, Ubigeo</w:t>
            </w:r>
            <w:r w:rsidR="004F7A90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Nombre de Gobierno Local.</w:t>
            </w:r>
          </w:p>
          <w:p w14:paraId="0A77AA99" w14:textId="77777777" w:rsidR="0026429F" w:rsidRDefault="0026429F" w:rsidP="0026429F">
            <w:pPr>
              <w:pStyle w:val="Prrafodelista"/>
              <w:jc w:val="both"/>
              <w:rPr>
                <w:lang w:val="es-ES"/>
              </w:rPr>
            </w:pPr>
          </w:p>
          <w:p w14:paraId="30566139" w14:textId="1EE6A188" w:rsidR="00D62839" w:rsidRDefault="00D62839" w:rsidP="00D62839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Datos de la Inversión: CUI, Tipo de Inversión, Nombre de inversión,</w:t>
            </w:r>
            <w:r w:rsidR="00DA57CB">
              <w:rPr>
                <w:lang w:val="es-ES"/>
              </w:rPr>
              <w:t xml:space="preserve"> costo de </w:t>
            </w:r>
            <w:r w:rsidR="00A4744B">
              <w:rPr>
                <w:lang w:val="es-ES"/>
              </w:rPr>
              <w:t>idea, Función</w:t>
            </w:r>
            <w:r w:rsidR="00DA57CB">
              <w:rPr>
                <w:lang w:val="es-ES"/>
              </w:rPr>
              <w:t xml:space="preserve">, </w:t>
            </w:r>
            <w:r>
              <w:rPr>
                <w:lang w:val="es-ES"/>
              </w:rPr>
              <w:t>Programa, Subprogram</w:t>
            </w:r>
            <w:r w:rsidR="00DA57CB">
              <w:rPr>
                <w:lang w:val="es-ES"/>
              </w:rPr>
              <w:t>a, Situación, fecha de registro, fecha de viabilidad, monto viable, descripción de alternativas, beneficiarios, Presupuesto Inicial Modificado (PMI) del año vigente</w:t>
            </w:r>
            <w:r w:rsidR="00A4744B">
              <w:rPr>
                <w:lang w:val="es-ES"/>
              </w:rPr>
              <w:t xml:space="preserve">, Devengado del año vigente, Devengado acumulado, Devengado acumulado del año anterior, fecha del primer devengado, fecha del último devengado, estado de la inversión, </w:t>
            </w:r>
            <w:r w:rsidR="00A913DE">
              <w:rPr>
                <w:lang w:val="es-ES"/>
              </w:rPr>
              <w:t xml:space="preserve">último estudio, costo actualizado, cerrado, marco, </w:t>
            </w:r>
            <w:r w:rsidR="0026429F">
              <w:rPr>
                <w:lang w:val="es-ES"/>
              </w:rPr>
              <w:t xml:space="preserve">inclusión de la programación </w:t>
            </w:r>
            <w:r w:rsidR="00A913DE">
              <w:rPr>
                <w:lang w:val="es-ES"/>
              </w:rPr>
              <w:t xml:space="preserve"> </w:t>
            </w:r>
            <w:r w:rsidR="0026429F">
              <w:rPr>
                <w:lang w:val="es-ES"/>
              </w:rPr>
              <w:t>en el PMI, inclusión de la ejecución en el PMI y registro de cierre.</w:t>
            </w:r>
          </w:p>
          <w:p w14:paraId="4B8E18CB" w14:textId="77777777" w:rsidR="00D62839" w:rsidRDefault="00D62839" w:rsidP="007B2D16">
            <w:pPr>
              <w:jc w:val="both"/>
              <w:rPr>
                <w:lang w:val="es-ES"/>
              </w:rPr>
            </w:pPr>
          </w:p>
          <w:p w14:paraId="07978C7F" w14:textId="4A464AE8" w:rsidR="00D62839" w:rsidRDefault="00D62839" w:rsidP="007B2D16">
            <w:pPr>
              <w:jc w:val="both"/>
              <w:rPr>
                <w:lang w:val="es-ES"/>
              </w:rPr>
            </w:pPr>
          </w:p>
        </w:tc>
      </w:tr>
      <w:tr w:rsidR="001E2C42" w14:paraId="2867C65A" w14:textId="77777777" w:rsidTr="001E2C42">
        <w:tc>
          <w:tcPr>
            <w:tcW w:w="2689" w:type="dxa"/>
          </w:tcPr>
          <w:p w14:paraId="7A3E9741" w14:textId="2AE8B2A3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Entidad</w:t>
            </w:r>
          </w:p>
        </w:tc>
        <w:tc>
          <w:tcPr>
            <w:tcW w:w="5805" w:type="dxa"/>
          </w:tcPr>
          <w:p w14:paraId="4E3D8017" w14:textId="168C11CD" w:rsidR="001E2C42" w:rsidRDefault="00953041">
            <w:pPr>
              <w:rPr>
                <w:lang w:val="es-ES"/>
              </w:rPr>
            </w:pPr>
            <w:r>
              <w:rPr>
                <w:lang w:val="es-ES"/>
              </w:rPr>
              <w:t>Municipalidad Distrital de La Punta</w:t>
            </w:r>
            <w:r w:rsidR="000C0C13">
              <w:rPr>
                <w:lang w:val="es-ES"/>
              </w:rPr>
              <w:t xml:space="preserve"> – MDLP</w:t>
            </w:r>
            <w:r w:rsidR="004F7A90">
              <w:rPr>
                <w:lang w:val="es-ES"/>
              </w:rPr>
              <w:t>.</w:t>
            </w:r>
          </w:p>
        </w:tc>
      </w:tr>
      <w:tr w:rsidR="001E2C42" w14:paraId="5BB0D8C2" w14:textId="77777777" w:rsidTr="001E2C42">
        <w:tc>
          <w:tcPr>
            <w:tcW w:w="2689" w:type="dxa"/>
          </w:tcPr>
          <w:p w14:paraId="303135ED" w14:textId="1675C52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Fuente</w:t>
            </w:r>
          </w:p>
        </w:tc>
        <w:tc>
          <w:tcPr>
            <w:tcW w:w="5805" w:type="dxa"/>
          </w:tcPr>
          <w:p w14:paraId="6AEE86A8" w14:textId="5B3F2F28" w:rsidR="001E2C42" w:rsidRDefault="000C0C13">
            <w:pPr>
              <w:rPr>
                <w:lang w:val="es-ES"/>
              </w:rPr>
            </w:pPr>
            <w:r>
              <w:rPr>
                <w:lang w:val="es-ES"/>
              </w:rPr>
              <w:t>Oficina de Planeamiento e inversiones, Modernización y Presupuesto.</w:t>
            </w:r>
          </w:p>
        </w:tc>
      </w:tr>
      <w:tr w:rsidR="001E2C42" w14:paraId="3E12E0DD" w14:textId="77777777" w:rsidTr="001E2C42">
        <w:tc>
          <w:tcPr>
            <w:tcW w:w="2689" w:type="dxa"/>
          </w:tcPr>
          <w:p w14:paraId="2A7882E3" w14:textId="01C9C790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Etiquetas</w:t>
            </w:r>
          </w:p>
        </w:tc>
        <w:tc>
          <w:tcPr>
            <w:tcW w:w="5805" w:type="dxa"/>
          </w:tcPr>
          <w:p w14:paraId="6C421455" w14:textId="60157773" w:rsidR="001E2C42" w:rsidRDefault="007B2D16">
            <w:pPr>
              <w:rPr>
                <w:lang w:val="es-ES"/>
              </w:rPr>
            </w:pPr>
            <w:r w:rsidRPr="007B2D16">
              <w:rPr>
                <w:lang w:val="es-ES"/>
              </w:rPr>
              <w:t>Inversión Pública</w:t>
            </w:r>
          </w:p>
        </w:tc>
      </w:tr>
      <w:tr w:rsidR="001E2C42" w14:paraId="36F5F036" w14:textId="77777777" w:rsidTr="001E2C42">
        <w:tc>
          <w:tcPr>
            <w:tcW w:w="2689" w:type="dxa"/>
          </w:tcPr>
          <w:p w14:paraId="044F7C7D" w14:textId="06AC4C9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Fecha de creación</w:t>
            </w:r>
          </w:p>
        </w:tc>
        <w:tc>
          <w:tcPr>
            <w:tcW w:w="5805" w:type="dxa"/>
          </w:tcPr>
          <w:p w14:paraId="786788BF" w14:textId="214162EF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</w:t>
            </w:r>
            <w:r w:rsidR="0068076A">
              <w:rPr>
                <w:lang w:val="es-ES"/>
              </w:rPr>
              <w:t>4</w:t>
            </w:r>
            <w:r>
              <w:rPr>
                <w:lang w:val="es-ES"/>
              </w:rPr>
              <w:t>-0</w:t>
            </w:r>
            <w:r w:rsidR="0068076A">
              <w:rPr>
                <w:lang w:val="es-ES"/>
              </w:rPr>
              <w:t>5</w:t>
            </w:r>
            <w:r>
              <w:rPr>
                <w:lang w:val="es-ES"/>
              </w:rPr>
              <w:t>-</w:t>
            </w:r>
            <w:r w:rsidR="000C0C13">
              <w:rPr>
                <w:lang w:val="es-ES"/>
              </w:rPr>
              <w:t>2</w:t>
            </w:r>
            <w:r w:rsidR="0026429F">
              <w:rPr>
                <w:lang w:val="es-ES"/>
              </w:rPr>
              <w:t>8</w:t>
            </w:r>
          </w:p>
        </w:tc>
      </w:tr>
      <w:tr w:rsidR="001E2C42" w14:paraId="36552C5C" w14:textId="77777777" w:rsidTr="001E2C42">
        <w:tc>
          <w:tcPr>
            <w:tcW w:w="2689" w:type="dxa"/>
          </w:tcPr>
          <w:p w14:paraId="5DA3042D" w14:textId="3E85CD4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Frecuencia de actualización</w:t>
            </w:r>
          </w:p>
        </w:tc>
        <w:tc>
          <w:tcPr>
            <w:tcW w:w="5805" w:type="dxa"/>
          </w:tcPr>
          <w:p w14:paraId="51E4170D" w14:textId="0378853D" w:rsidR="001E2C42" w:rsidRDefault="007B2D16">
            <w:pPr>
              <w:rPr>
                <w:lang w:val="es-ES"/>
              </w:rPr>
            </w:pPr>
            <w:r w:rsidRPr="007B2D16">
              <w:rPr>
                <w:lang w:val="es-ES"/>
              </w:rPr>
              <w:t>Semestral</w:t>
            </w:r>
          </w:p>
        </w:tc>
      </w:tr>
      <w:tr w:rsidR="001E2C42" w14:paraId="2EF67939" w14:textId="77777777" w:rsidTr="001E2C42">
        <w:tc>
          <w:tcPr>
            <w:tcW w:w="2689" w:type="dxa"/>
          </w:tcPr>
          <w:p w14:paraId="1B838E78" w14:textId="2E18A717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Última actualización</w:t>
            </w:r>
          </w:p>
        </w:tc>
        <w:tc>
          <w:tcPr>
            <w:tcW w:w="5805" w:type="dxa"/>
          </w:tcPr>
          <w:p w14:paraId="20FD42C0" w14:textId="2FBDF91C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202</w:t>
            </w:r>
            <w:r w:rsidR="0068076A">
              <w:rPr>
                <w:lang w:val="es-ES"/>
              </w:rPr>
              <w:t>4</w:t>
            </w:r>
            <w:r>
              <w:rPr>
                <w:lang w:val="es-ES"/>
              </w:rPr>
              <w:t>-0</w:t>
            </w:r>
            <w:r w:rsidR="0068076A">
              <w:rPr>
                <w:lang w:val="es-ES"/>
              </w:rPr>
              <w:t>5</w:t>
            </w:r>
            <w:r>
              <w:rPr>
                <w:lang w:val="es-ES"/>
              </w:rPr>
              <w:t>-</w:t>
            </w:r>
            <w:r w:rsidR="000C0C13">
              <w:rPr>
                <w:lang w:val="es-ES"/>
              </w:rPr>
              <w:t>2</w:t>
            </w:r>
            <w:r w:rsidR="0026429F">
              <w:rPr>
                <w:lang w:val="es-ES"/>
              </w:rPr>
              <w:t>8</w:t>
            </w:r>
          </w:p>
        </w:tc>
      </w:tr>
      <w:tr w:rsidR="001E2C42" w14:paraId="7F842236" w14:textId="77777777" w:rsidTr="001E2C42">
        <w:tc>
          <w:tcPr>
            <w:tcW w:w="2689" w:type="dxa"/>
          </w:tcPr>
          <w:p w14:paraId="03A9DBF5" w14:textId="48B5C4E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Versión</w:t>
            </w:r>
          </w:p>
        </w:tc>
        <w:tc>
          <w:tcPr>
            <w:tcW w:w="5805" w:type="dxa"/>
          </w:tcPr>
          <w:p w14:paraId="26680492" w14:textId="3F16C321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1.0</w:t>
            </w:r>
          </w:p>
        </w:tc>
      </w:tr>
      <w:tr w:rsidR="001E2C42" w14:paraId="5985238B" w14:textId="77777777" w:rsidTr="001E2C42">
        <w:tc>
          <w:tcPr>
            <w:tcW w:w="2689" w:type="dxa"/>
          </w:tcPr>
          <w:p w14:paraId="7982975A" w14:textId="174DBF3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Licencia</w:t>
            </w:r>
          </w:p>
        </w:tc>
        <w:tc>
          <w:tcPr>
            <w:tcW w:w="5805" w:type="dxa"/>
          </w:tcPr>
          <w:p w14:paraId="21F545D8" w14:textId="32C8194A" w:rsidR="001E2C42" w:rsidRDefault="00000000">
            <w:pPr>
              <w:rPr>
                <w:lang w:val="es-ES"/>
              </w:rPr>
            </w:pPr>
            <w:hyperlink r:id="rId5" w:history="1">
              <w:r w:rsidR="00E55059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1E2C42" w14:paraId="78F51E4B" w14:textId="77777777" w:rsidTr="001E2C42">
        <w:tc>
          <w:tcPr>
            <w:tcW w:w="2689" w:type="dxa"/>
          </w:tcPr>
          <w:p w14:paraId="58EC7BF3" w14:textId="66BC5AC5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Idioma</w:t>
            </w:r>
          </w:p>
        </w:tc>
        <w:tc>
          <w:tcPr>
            <w:tcW w:w="5805" w:type="dxa"/>
          </w:tcPr>
          <w:p w14:paraId="035BEF39" w14:textId="7C89FBA9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Español</w:t>
            </w:r>
          </w:p>
        </w:tc>
      </w:tr>
      <w:tr w:rsidR="001E2C42" w14:paraId="5D47D83C" w14:textId="77777777" w:rsidTr="001E2C42">
        <w:tc>
          <w:tcPr>
            <w:tcW w:w="2689" w:type="dxa"/>
          </w:tcPr>
          <w:p w14:paraId="474DFCF3" w14:textId="29D77B3F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Nivel de acceso público</w:t>
            </w:r>
          </w:p>
        </w:tc>
        <w:tc>
          <w:tcPr>
            <w:tcW w:w="5805" w:type="dxa"/>
          </w:tcPr>
          <w:p w14:paraId="15EDC268" w14:textId="21488342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Público</w:t>
            </w:r>
          </w:p>
        </w:tc>
      </w:tr>
      <w:tr w:rsidR="001E2C42" w14:paraId="14E55EEA" w14:textId="77777777" w:rsidTr="001E2C42">
        <w:tc>
          <w:tcPr>
            <w:tcW w:w="2689" w:type="dxa"/>
          </w:tcPr>
          <w:p w14:paraId="5BFD54AA" w14:textId="4086AB2C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Tipo de recurso</w:t>
            </w:r>
          </w:p>
        </w:tc>
        <w:tc>
          <w:tcPr>
            <w:tcW w:w="5805" w:type="dxa"/>
          </w:tcPr>
          <w:p w14:paraId="20A5D4E7" w14:textId="4DEBB1BD" w:rsidR="001E2C42" w:rsidRDefault="00EE54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Dataset</w:t>
            </w:r>
            <w:proofErr w:type="spellEnd"/>
          </w:p>
        </w:tc>
      </w:tr>
      <w:tr w:rsidR="001E2C42" w14:paraId="3AC6407F" w14:textId="77777777" w:rsidTr="001E2C42">
        <w:tc>
          <w:tcPr>
            <w:tcW w:w="2689" w:type="dxa"/>
          </w:tcPr>
          <w:p w14:paraId="2A799853" w14:textId="5607C1A1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Formato</w:t>
            </w:r>
          </w:p>
        </w:tc>
        <w:tc>
          <w:tcPr>
            <w:tcW w:w="5805" w:type="dxa"/>
          </w:tcPr>
          <w:p w14:paraId="15D58118" w14:textId="0AC224AC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>CSV</w:t>
            </w:r>
          </w:p>
        </w:tc>
      </w:tr>
      <w:tr w:rsidR="001E2C42" w14:paraId="1B6BF016" w14:textId="77777777" w:rsidTr="001E2C42">
        <w:tc>
          <w:tcPr>
            <w:tcW w:w="2689" w:type="dxa"/>
          </w:tcPr>
          <w:p w14:paraId="720F1D28" w14:textId="0EC7479E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Cobertura</w:t>
            </w:r>
          </w:p>
        </w:tc>
        <w:tc>
          <w:tcPr>
            <w:tcW w:w="5805" w:type="dxa"/>
          </w:tcPr>
          <w:p w14:paraId="48DE839D" w14:textId="65E8297A" w:rsidR="001E2C42" w:rsidRDefault="00EE5477">
            <w:pPr>
              <w:rPr>
                <w:lang w:val="es-ES"/>
              </w:rPr>
            </w:pPr>
            <w:r>
              <w:rPr>
                <w:lang w:val="es-ES"/>
              </w:rPr>
              <w:t xml:space="preserve">Perú, </w:t>
            </w:r>
            <w:r w:rsidR="000C0C13">
              <w:rPr>
                <w:lang w:val="es-ES"/>
              </w:rPr>
              <w:t xml:space="preserve">Provincia Constitucional del </w:t>
            </w:r>
            <w:r>
              <w:rPr>
                <w:lang w:val="es-ES"/>
              </w:rPr>
              <w:t>Callao</w:t>
            </w:r>
            <w:r w:rsidR="000C0C13">
              <w:rPr>
                <w:lang w:val="es-ES"/>
              </w:rPr>
              <w:t>,</w:t>
            </w:r>
            <w:r>
              <w:rPr>
                <w:lang w:val="es-ES"/>
              </w:rPr>
              <w:t xml:space="preserve"> La Punta</w:t>
            </w:r>
            <w:r w:rsidR="004F7A90">
              <w:rPr>
                <w:lang w:val="es-ES"/>
              </w:rPr>
              <w:t>.</w:t>
            </w:r>
          </w:p>
        </w:tc>
      </w:tr>
      <w:tr w:rsidR="001E2C42" w14:paraId="7B0DC11B" w14:textId="77777777" w:rsidTr="001E2C42">
        <w:tc>
          <w:tcPr>
            <w:tcW w:w="2689" w:type="dxa"/>
          </w:tcPr>
          <w:p w14:paraId="2F8F7DE4" w14:textId="5A0CF41D" w:rsidR="001E2C42" w:rsidRDefault="001E2C42">
            <w:pPr>
              <w:rPr>
                <w:lang w:val="es-ES"/>
              </w:rPr>
            </w:pPr>
            <w:r>
              <w:rPr>
                <w:lang w:val="es-ES"/>
              </w:rPr>
              <w:t>Correo de contacto</w:t>
            </w:r>
          </w:p>
        </w:tc>
        <w:tc>
          <w:tcPr>
            <w:tcW w:w="5805" w:type="dxa"/>
          </w:tcPr>
          <w:p w14:paraId="2EDD4E33" w14:textId="2C7E174B" w:rsidR="001E2C42" w:rsidRDefault="00E55059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EE5477">
              <w:rPr>
                <w:lang w:val="es-ES"/>
              </w:rPr>
              <w:t>atos.abiertos@munilapunta.gob.pe</w:t>
            </w:r>
          </w:p>
        </w:tc>
      </w:tr>
    </w:tbl>
    <w:p w14:paraId="6E0E2D92" w14:textId="77777777" w:rsidR="001E2C42" w:rsidRDefault="001E2C42">
      <w:pPr>
        <w:rPr>
          <w:lang w:val="es-ES"/>
        </w:rPr>
      </w:pPr>
    </w:p>
    <w:p w14:paraId="78AD7156" w14:textId="62021C52" w:rsidR="00260004" w:rsidRPr="00260004" w:rsidRDefault="00260004" w:rsidP="00260004">
      <w:pPr>
        <w:spacing w:after="0" w:line="240" w:lineRule="auto"/>
        <w:rPr>
          <w:rFonts w:ascii="Arial" w:eastAsia="Times New Roman" w:hAnsi="Arial" w:cs="Arial"/>
          <w:kern w:val="0"/>
          <w:lang w:eastAsia="es-PE"/>
          <w14:ligatures w14:val="none"/>
        </w:rPr>
      </w:pPr>
    </w:p>
    <w:p w14:paraId="32169CE9" w14:textId="77777777" w:rsidR="00260004" w:rsidRPr="00BC1A2C" w:rsidRDefault="00260004">
      <w:pPr>
        <w:rPr>
          <w:lang w:val="es-ES"/>
        </w:rPr>
      </w:pPr>
    </w:p>
    <w:sectPr w:rsidR="00260004" w:rsidRPr="00BC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F5DC5"/>
    <w:multiLevelType w:val="hybridMultilevel"/>
    <w:tmpl w:val="3C18ECA2"/>
    <w:lvl w:ilvl="0" w:tplc="AB82272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D5"/>
    <w:rsid w:val="000C0C13"/>
    <w:rsid w:val="001724C7"/>
    <w:rsid w:val="001E2C42"/>
    <w:rsid w:val="002335F8"/>
    <w:rsid w:val="00260004"/>
    <w:rsid w:val="0026429F"/>
    <w:rsid w:val="00454383"/>
    <w:rsid w:val="004F7A90"/>
    <w:rsid w:val="00541A11"/>
    <w:rsid w:val="00673089"/>
    <w:rsid w:val="0068076A"/>
    <w:rsid w:val="007B2D16"/>
    <w:rsid w:val="009405D5"/>
    <w:rsid w:val="00953041"/>
    <w:rsid w:val="00A26595"/>
    <w:rsid w:val="00A27593"/>
    <w:rsid w:val="00A4744B"/>
    <w:rsid w:val="00A628AE"/>
    <w:rsid w:val="00A913DE"/>
    <w:rsid w:val="00B3082E"/>
    <w:rsid w:val="00B3598D"/>
    <w:rsid w:val="00B849C2"/>
    <w:rsid w:val="00BC1A2C"/>
    <w:rsid w:val="00C24996"/>
    <w:rsid w:val="00D62839"/>
    <w:rsid w:val="00DA57CB"/>
    <w:rsid w:val="00E55059"/>
    <w:rsid w:val="00EE5477"/>
    <w:rsid w:val="00EE624E"/>
    <w:rsid w:val="00F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187F"/>
  <w15:chartTrackingRefBased/>
  <w15:docId w15:val="{7BA56012-28C7-4379-BBF9-71925E3F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50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Oscar Mendoza Esponoza</dc:creator>
  <cp:keywords/>
  <dc:description/>
  <cp:lastModifiedBy>Jim Oscar Mendoza Espinoza</cp:lastModifiedBy>
  <cp:revision>5</cp:revision>
  <dcterms:created xsi:type="dcterms:W3CDTF">2024-05-17T20:01:00Z</dcterms:created>
  <dcterms:modified xsi:type="dcterms:W3CDTF">2024-05-28T21:32:00Z</dcterms:modified>
</cp:coreProperties>
</file>