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7A" w:rsidRDefault="00066E37">
      <w:pPr>
        <w:pStyle w:val="Ttulo2"/>
        <w:ind w:firstLine="512"/>
      </w:pPr>
      <w:r>
        <w:rPr>
          <w:noProof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307A" w:rsidRDefault="0063307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0" y="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307A" w:rsidRDefault="006330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3307A" w:rsidRDefault="006330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858000" cy="1371600"/>
                <wp:effectExtent b="0" l="0" r="0" 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63307A" w:rsidRDefault="00066E37">
      <w:pPr>
        <w:pStyle w:val="Puesto"/>
        <w:ind w:firstLine="1788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:rsidR="0063307A" w:rsidRDefault="00066E37">
      <w:pPr>
        <w:spacing w:before="1"/>
        <w:ind w:left="784" w:right="1250"/>
        <w:rPr>
          <w:sz w:val="36"/>
          <w:szCs w:val="36"/>
        </w:rPr>
      </w:pPr>
      <w:r>
        <w:rPr>
          <w:b/>
          <w:color w:val="006FC0"/>
          <w:sz w:val="40"/>
          <w:szCs w:val="40"/>
        </w:rPr>
        <w:t xml:space="preserve">DATASET: </w:t>
      </w:r>
      <w:r>
        <w:rPr>
          <w:sz w:val="36"/>
          <w:szCs w:val="36"/>
        </w:rPr>
        <w:t>CERTIFICACIONES AMBIENTALES</w:t>
      </w:r>
    </w:p>
    <w:p w:rsidR="0063307A" w:rsidRDefault="00066E37">
      <w:pPr>
        <w:spacing w:before="4"/>
        <w:ind w:left="784"/>
        <w:rPr>
          <w:b/>
          <w:sz w:val="40"/>
          <w:szCs w:val="40"/>
        </w:rPr>
      </w:pPr>
      <w:r>
        <w:rPr>
          <w:b/>
          <w:color w:val="006FC0"/>
          <w:sz w:val="40"/>
          <w:szCs w:val="40"/>
        </w:rPr>
        <w:t>CÓDIGO DEL DATASET</w:t>
      </w:r>
      <w:r>
        <w:rPr>
          <w:b/>
          <w:sz w:val="40"/>
          <w:szCs w:val="40"/>
        </w:rPr>
        <w:t>: 006</w:t>
      </w:r>
      <w:bookmarkStart w:id="0" w:name="_GoBack"/>
      <w:bookmarkEnd w:id="0"/>
    </w:p>
    <w:p w:rsidR="0063307A" w:rsidRDefault="00066E3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63307A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883400" cy="6882130"/>
                <wp:effectExtent l="0" t="0" r="0" b="0"/>
                <wp:wrapTopAndBottom distT="0" distB="0"/>
                <wp:docPr id="7" name="Forma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066E37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883400" cy="6882130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0" cy="688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307A" w:rsidRDefault="00066E37">
      <w:pPr>
        <w:pStyle w:val="Ttulo1"/>
        <w:numPr>
          <w:ilvl w:val="0"/>
          <w:numId w:val="1"/>
        </w:numPr>
        <w:tabs>
          <w:tab w:val="left" w:pos="874"/>
        </w:tabs>
        <w:spacing w:before="15"/>
        <w:ind w:hanging="362"/>
      </w:pPr>
      <w:r>
        <w:lastRenderedPageBreak/>
        <w:t>Resumen: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63307A" w:rsidRDefault="00066E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información a publicar es importante ya que nos indica el número de proyecto que cuentan con Certificación                                                                                             Ambiental. La Certificación Ambiental es el instrument</w:t>
      </w:r>
      <w:r>
        <w:rPr>
          <w:rFonts w:ascii="Arial" w:eastAsia="Arial" w:hAnsi="Arial" w:cs="Arial"/>
          <w:sz w:val="20"/>
          <w:szCs w:val="20"/>
        </w:rPr>
        <w:t>o previo que todo proyecto de inversión debe elaborar antes de ser ejecutado, previendo los impactos ambientales negativos significativos que podría generar. Toda persona natural o jurídica, de derecho público o privado, nacional o extranjera, que pretenda</w:t>
      </w:r>
      <w:r>
        <w:rPr>
          <w:rFonts w:ascii="Arial" w:eastAsia="Arial" w:hAnsi="Arial" w:cs="Arial"/>
          <w:sz w:val="20"/>
          <w:szCs w:val="20"/>
        </w:rPr>
        <w:t xml:space="preserve"> desarrollar un proyecto de inversión en el Perú que sea susceptible de generar impactos ambientales negativos de carácter significativo, debe gestionar una Certificación Ambiental.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63307A" w:rsidRDefault="00066E37">
      <w:pPr>
        <w:pStyle w:val="Ttulo1"/>
        <w:numPr>
          <w:ilvl w:val="0"/>
          <w:numId w:val="1"/>
        </w:numPr>
        <w:tabs>
          <w:tab w:val="left" w:pos="874"/>
        </w:tabs>
        <w:spacing w:before="94"/>
        <w:ind w:hanging="362"/>
      </w:pPr>
      <w:r>
        <w:t>Fuente del DATASET:</w:t>
      </w:r>
    </w:p>
    <w:p w:rsidR="0063307A" w:rsidRDefault="00066E37">
      <w:pPr>
        <w:tabs>
          <w:tab w:val="left" w:pos="874"/>
        </w:tabs>
        <w:ind w:left="873"/>
        <w:rPr>
          <w:sz w:val="20"/>
          <w:szCs w:val="20"/>
        </w:rPr>
      </w:pPr>
      <w:r>
        <w:rPr>
          <w:sz w:val="20"/>
          <w:szCs w:val="20"/>
        </w:rPr>
        <w:t xml:space="preserve">La información se obtiene de la base de datos de los aplicativos virtuales ingresados al SGA y de la elaboración de matrices con la información de las Resoluciones Directorales de Certificaciones Ambientales aprobadas.            </w:t>
      </w:r>
    </w:p>
    <w:p w:rsidR="0063307A" w:rsidRDefault="0063307A">
      <w:pPr>
        <w:tabs>
          <w:tab w:val="left" w:pos="874"/>
        </w:tabs>
        <w:ind w:left="873"/>
        <w:rPr>
          <w:sz w:val="20"/>
          <w:szCs w:val="20"/>
        </w:rPr>
      </w:pP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63307A" w:rsidRDefault="00066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0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63307A">
        <w:trPr>
          <w:trHeight w:val="265"/>
        </w:trPr>
        <w:tc>
          <w:tcPr>
            <w:tcW w:w="2318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63307A">
        <w:trPr>
          <w:trHeight w:val="345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ID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</w:p>
        </w:tc>
        <w:tc>
          <w:tcPr>
            <w:tcW w:w="1471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63307A">
        <w:trPr>
          <w:trHeight w:val="755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PAIS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Estándar de utilización de países</w:t>
            </w:r>
          </w:p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169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ENTIDAD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Entidad Pública generadora del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dataset</w:t>
            </w:r>
            <w:proofErr w:type="spellEnd"/>
          </w:p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63307A">
        <w:trPr>
          <w:trHeight w:val="315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TITULAR DEL PROYECTO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empresa, consorcio, entidad, persona natural o jurídica encargada de proporcionar información del proyecto de inversión.</w:t>
            </w:r>
          </w:p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63307A" w:rsidRDefault="0063307A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63307A" w:rsidRDefault="00066E37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435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DEL PROYECTO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denominación de la obra que se llevará a cabo, indica el objetivo preciso del proyecto a ejecutar,</w:t>
            </w:r>
          </w:p>
        </w:tc>
        <w:tc>
          <w:tcPr>
            <w:tcW w:w="1471" w:type="dxa"/>
          </w:tcPr>
          <w:p w:rsidR="0063307A" w:rsidRDefault="0063307A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63307A" w:rsidRDefault="00066E37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300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RUBRO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especialidad del proyecto de inversión ya sea en el campo de saneamiento o edificaciones.</w:t>
            </w:r>
          </w:p>
        </w:tc>
        <w:tc>
          <w:tcPr>
            <w:tcW w:w="1471" w:type="dxa"/>
          </w:tcPr>
          <w:p w:rsidR="0063307A" w:rsidRDefault="0063307A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63307A" w:rsidRDefault="00066E37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285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RESOLUCIÓN DIRECTORAL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el documento que constituye la Certificación Ambiental del mencionado proyecto.</w:t>
            </w:r>
          </w:p>
        </w:tc>
        <w:tc>
          <w:tcPr>
            <w:tcW w:w="1471" w:type="dxa"/>
          </w:tcPr>
          <w:p w:rsidR="0063307A" w:rsidRDefault="0063307A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63307A" w:rsidRDefault="00066E37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285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FECHA DE EMISIÓN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fecha en la que se aprueba la Certificación Ambiental del proyecto de inversión.</w:t>
            </w:r>
          </w:p>
        </w:tc>
        <w:tc>
          <w:tcPr>
            <w:tcW w:w="1471" w:type="dxa"/>
          </w:tcPr>
          <w:p w:rsidR="0063307A" w:rsidRDefault="0063307A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63307A" w:rsidRDefault="00066E37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405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PROYECTO DE INVERSIÓN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el instrumento previo que debe contar todo proyecto antes de su ejecución.</w:t>
            </w:r>
          </w:p>
        </w:tc>
        <w:tc>
          <w:tcPr>
            <w:tcW w:w="1471" w:type="dxa"/>
          </w:tcPr>
          <w:p w:rsidR="0063307A" w:rsidRDefault="0063307A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63307A" w:rsidRDefault="00066E37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330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CATEGORÍA</w:t>
            </w:r>
          </w:p>
        </w:tc>
        <w:tc>
          <w:tcPr>
            <w:tcW w:w="6662" w:type="dxa"/>
          </w:tcPr>
          <w:p w:rsidR="0063307A" w:rsidRDefault="0063307A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clasificación ambiental que se otorga al proyecto dependiendo de los impactos ambientales negativos que podrían generar.</w:t>
            </w:r>
          </w:p>
          <w:p w:rsidR="0063307A" w:rsidRDefault="0063307A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63307A" w:rsidRDefault="0063307A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63307A" w:rsidRDefault="00066E37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405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ESTADO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Nos indica la condición  de la Certificación Ambiental.</w:t>
            </w:r>
          </w:p>
        </w:tc>
        <w:tc>
          <w:tcPr>
            <w:tcW w:w="1471" w:type="dxa"/>
          </w:tcPr>
          <w:p w:rsidR="0063307A" w:rsidRDefault="0063307A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63307A" w:rsidRDefault="00066E37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252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REGIÓN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región donde se ubica el proyecto</w:t>
            </w:r>
          </w:p>
        </w:tc>
        <w:tc>
          <w:tcPr>
            <w:tcW w:w="1471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561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PROVINCIA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provincia donde se ubica el proyecto</w:t>
            </w:r>
          </w:p>
        </w:tc>
        <w:tc>
          <w:tcPr>
            <w:tcW w:w="1471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63307A">
        <w:trPr>
          <w:trHeight w:val="189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DISTRITO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distrito donde se ubica el proyecto</w:t>
            </w:r>
          </w:p>
        </w:tc>
        <w:tc>
          <w:tcPr>
            <w:tcW w:w="1471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63307A">
        <w:trPr>
          <w:trHeight w:val="189"/>
        </w:trPr>
        <w:tc>
          <w:tcPr>
            <w:tcW w:w="2318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LOCALIDAD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Nombre de la Localidad donde se ubica el proyecto</w:t>
            </w:r>
          </w:p>
        </w:tc>
        <w:tc>
          <w:tcPr>
            <w:tcW w:w="1471" w:type="dxa"/>
          </w:tcPr>
          <w:p w:rsidR="0063307A" w:rsidRDefault="0063307A">
            <w:pPr>
              <w:jc w:val="center"/>
              <w:rPr>
                <w:b/>
                <w:i/>
                <w:sz w:val="14"/>
                <w:szCs w:val="14"/>
              </w:rPr>
            </w:pPr>
          </w:p>
          <w:p w:rsidR="0063307A" w:rsidRDefault="00066E37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  <w:p w:rsidR="0063307A" w:rsidRDefault="0063307A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63307A">
        <w:trPr>
          <w:trHeight w:val="413"/>
        </w:trPr>
        <w:tc>
          <w:tcPr>
            <w:tcW w:w="2318" w:type="dxa"/>
          </w:tcPr>
          <w:p w:rsidR="0063307A" w:rsidRDefault="0063307A">
            <w:pPr>
              <w:spacing w:before="1"/>
              <w:ind w:left="110"/>
              <w:rPr>
                <w:b/>
                <w:sz w:val="14"/>
                <w:szCs w:val="14"/>
              </w:rPr>
            </w:pPr>
          </w:p>
          <w:p w:rsidR="0063307A" w:rsidRDefault="00066E37">
            <w:pPr>
              <w:spacing w:before="1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UBIGEO</w:t>
            </w:r>
          </w:p>
        </w:tc>
        <w:tc>
          <w:tcPr>
            <w:tcW w:w="6662" w:type="dxa"/>
          </w:tcPr>
          <w:p w:rsidR="0063307A" w:rsidRDefault="0063307A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63307A" w:rsidRDefault="00066E37">
            <w:pPr>
              <w:spacing w:line="151" w:lineRule="auto"/>
              <w:ind w:left="107"/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Código de </w:t>
            </w:r>
            <w:proofErr w:type="spellStart"/>
            <w:r>
              <w:rPr>
                <w:i/>
                <w:sz w:val="14"/>
                <w:szCs w:val="14"/>
              </w:rPr>
              <w:t>ubigeo</w:t>
            </w:r>
            <w:proofErr w:type="spellEnd"/>
            <w:r>
              <w:rPr>
                <w:i/>
                <w:sz w:val="14"/>
                <w:szCs w:val="14"/>
              </w:rPr>
              <w:t xml:space="preserve"> donde se ubica el proyecto</w:t>
            </w:r>
          </w:p>
        </w:tc>
        <w:tc>
          <w:tcPr>
            <w:tcW w:w="1471" w:type="dxa"/>
          </w:tcPr>
          <w:p w:rsidR="0063307A" w:rsidRDefault="00066E37">
            <w:pPr>
              <w:spacing w:before="97"/>
              <w:ind w:left="107" w:right="96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</w:tbl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3307A" w:rsidRDefault="00066E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1838960" cy="22225"/>
                <wp:effectExtent l="0" t="0" r="0" b="0"/>
                <wp:wrapTopAndBottom distT="0" distB="0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1838960" cy="22225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63307A" w:rsidRDefault="00066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63307A" w:rsidRDefault="0063307A">
      <w:pPr>
        <w:ind w:left="993" w:right="1219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lastRenderedPageBreak/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4127.- Identificación tipo de</w:t>
      </w:r>
      <w:r>
        <w:rPr>
          <w:color w:val="000000"/>
        </w:rPr>
        <w:t xml:space="preserve"> Moneda</w:t>
      </w:r>
    </w:p>
    <w:sectPr w:rsidR="0063307A">
      <w:pgSz w:w="12240" w:h="15840"/>
      <w:pgMar w:top="1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E11CA"/>
    <w:multiLevelType w:val="multilevel"/>
    <w:tmpl w:val="53267000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421A7F"/>
    <w:multiLevelType w:val="multilevel"/>
    <w:tmpl w:val="5B762088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7A"/>
    <w:rsid w:val="00066E37"/>
    <w:rsid w:val="006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D09623-045F-44A2-B28E-2234B963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20QJApin6kwcqyFWFqw54BP/KQ==">AMUW2mX9KZUNAtLl4hlYVS8l/y/WNlAltSvheCbQAB3lE9LUjcWVL2eQN7cpv6SwlvMoL4Quayzqsda/ET/wFcnP+TD2DVm2Yq18LixLiJxVMgEb3FlgEYM=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TEODORO MALDONADO CUZCANO</cp:lastModifiedBy>
  <cp:revision>2</cp:revision>
  <dcterms:created xsi:type="dcterms:W3CDTF">2021-03-08T01:30:00Z</dcterms:created>
  <dcterms:modified xsi:type="dcterms:W3CDTF">2021-07-23T16:48:00Z</dcterms:modified>
</cp:coreProperties>
</file>