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F24" w:rsidRDefault="002D4583">
      <w:pPr>
        <w:rPr>
          <w:rFonts w:ascii="Arial" w:eastAsia="Arial" w:hAnsi="Arial" w:cs="Arial"/>
        </w:rPr>
      </w:pPr>
      <w:r>
        <w:rPr>
          <w:rFonts w:ascii="Arial" w:eastAsia="Arial" w:hAnsi="Arial" w:cs="Arial"/>
          <w:noProof/>
        </w:rPr>
        <mc:AlternateContent>
          <mc:Choice Requires="wpg">
            <w:drawing>
              <wp:anchor distT="0" distB="0" distL="114300" distR="114300" simplePos="0" relativeHeight="251658240" behindDoc="0" locked="0" layoutInCell="1" hidden="0" allowOverlap="1">
                <wp:simplePos x="0" y="0"/>
                <wp:positionH relativeFrom="page">
                  <wp:align>center</wp:align>
                </wp:positionH>
                <wp:positionV relativeFrom="page">
                  <wp:posOffset>245745</wp:posOffset>
                </wp:positionV>
                <wp:extent cx="7315200" cy="1215391"/>
                <wp:effectExtent l="0" t="0" r="0" b="0"/>
                <wp:wrapNone/>
                <wp:docPr id="1" name="Grupo 1"/>
                <wp:cNvGraphicFramePr/>
                <a:graphic xmlns:a="http://schemas.openxmlformats.org/drawingml/2006/main">
                  <a:graphicData uri="http://schemas.microsoft.com/office/word/2010/wordprocessingGroup">
                    <wpg:wgp>
                      <wpg:cNvGrpSpPr/>
                      <wpg:grpSpPr>
                        <a:xfrm>
                          <a:off x="0" y="0"/>
                          <a:ext cx="7315200" cy="1215391"/>
                          <a:chOff x="1688400" y="3172305"/>
                          <a:chExt cx="7315200" cy="1215391"/>
                        </a:xfrm>
                      </wpg:grpSpPr>
                      <wpg:grpSp>
                        <wpg:cNvPr id="2" name="Grupo 2"/>
                        <wpg:cNvGrpSpPr/>
                        <wpg:grpSpPr>
                          <a:xfrm>
                            <a:off x="1688400" y="3172305"/>
                            <a:ext cx="7315200" cy="1215391"/>
                            <a:chOff x="0" y="-1"/>
                            <a:chExt cx="7315200" cy="1216153"/>
                          </a:xfrm>
                        </wpg:grpSpPr>
                        <wps:wsp>
                          <wps:cNvPr id="3" name="Rectángulo 3"/>
                          <wps:cNvSpPr/>
                          <wps:spPr>
                            <a:xfrm>
                              <a:off x="0" y="-1"/>
                              <a:ext cx="7315200" cy="1216150"/>
                            </a:xfrm>
                            <a:prstGeom prst="rect">
                              <a:avLst/>
                            </a:prstGeom>
                            <a:noFill/>
                            <a:ln>
                              <a:noFill/>
                            </a:ln>
                          </wps:spPr>
                          <wps:txbx>
                            <w:txbxContent>
                              <w:p w:rsidR="005E2F24" w:rsidRDefault="005E2F24">
                                <w:pPr>
                                  <w:spacing w:after="0" w:line="240" w:lineRule="auto"/>
                                  <w:textDirection w:val="btLr"/>
                                </w:pPr>
                              </w:p>
                            </w:txbxContent>
                          </wps:txbx>
                          <wps:bodyPr spcFirstLastPara="1" wrap="square" lIns="91425" tIns="91425" rIns="91425" bIns="91425" anchor="ctr" anchorCtr="0">
                            <a:noAutofit/>
                          </wps:bodyPr>
                        </wps:wsp>
                        <wps:wsp>
                          <wps:cNvPr id="4" name="Forma libre 4"/>
                          <wps:cNvSpPr/>
                          <wps:spPr>
                            <a:xfrm>
                              <a:off x="0" y="-1"/>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5" name="Rectángulo 5"/>
                          <wps:cNvSpPr/>
                          <wps:spPr>
                            <a:xfrm>
                              <a:off x="0" y="0"/>
                              <a:ext cx="7315200" cy="1216152"/>
                            </a:xfrm>
                            <a:prstGeom prst="rect">
                              <a:avLst/>
                            </a:prstGeom>
                            <a:blipFill rotWithShape="1">
                              <a:blip r:embed="rId5">
                                <a:alphaModFix/>
                              </a:blip>
                              <a:stretch>
                                <a:fillRect r="-7573"/>
                              </a:stretch>
                            </a:blipFill>
                            <a:ln>
                              <a:noFill/>
                            </a:ln>
                          </wps:spPr>
                          <wps:txbx>
                            <w:txbxContent>
                              <w:p w:rsidR="005E2F24" w:rsidRDefault="005E2F24">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align>center</wp:align>
                </wp:positionH>
                <wp:positionV relativeFrom="page">
                  <wp:posOffset>245745</wp:posOffset>
                </wp:positionV>
                <wp:extent cx="7315200" cy="1215391"/>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315200" cy="1215391"/>
                        </a:xfrm>
                        <a:prstGeom prst="rect"/>
                        <a:ln/>
                      </pic:spPr>
                    </pic:pic>
                  </a:graphicData>
                </a:graphic>
              </wp:anchor>
            </w:drawing>
          </mc:Fallback>
        </mc:AlternateContent>
      </w:r>
    </w:p>
    <w:p w:rsidR="005E2F24" w:rsidRDefault="005E2F24">
      <w:pPr>
        <w:rPr>
          <w:rFonts w:ascii="Arial" w:eastAsia="Arial" w:hAnsi="Arial" w:cs="Arial"/>
          <w:b/>
          <w:color w:val="595959"/>
          <w:sz w:val="44"/>
          <w:szCs w:val="44"/>
        </w:rPr>
      </w:pPr>
    </w:p>
    <w:p w:rsidR="005E2F24" w:rsidRDefault="005E2F24">
      <w:pPr>
        <w:jc w:val="right"/>
        <w:rPr>
          <w:rFonts w:ascii="Arial" w:eastAsia="Arial" w:hAnsi="Arial" w:cs="Arial"/>
          <w:b/>
          <w:color w:val="D34817"/>
          <w:sz w:val="110"/>
          <w:szCs w:val="110"/>
        </w:rPr>
      </w:pPr>
    </w:p>
    <w:p w:rsidR="005E2F24" w:rsidRDefault="002D4583">
      <w:pPr>
        <w:jc w:val="right"/>
        <w:rPr>
          <w:rFonts w:ascii="Arial" w:eastAsia="Arial" w:hAnsi="Arial" w:cs="Arial"/>
          <w:b/>
          <w:color w:val="D34817"/>
          <w:sz w:val="110"/>
          <w:szCs w:val="110"/>
        </w:rPr>
      </w:pPr>
      <w:r>
        <w:rPr>
          <w:rFonts w:ascii="Arial" w:eastAsia="Arial" w:hAnsi="Arial" w:cs="Arial"/>
          <w:b/>
          <w:color w:val="D34817"/>
          <w:sz w:val="110"/>
          <w:szCs w:val="110"/>
        </w:rPr>
        <w:t>DICCIONARIO DE DATOS</w:t>
      </w:r>
    </w:p>
    <w:p w:rsidR="005E2F24" w:rsidRDefault="005E2F24">
      <w:pPr>
        <w:rPr>
          <w:rFonts w:ascii="Arial" w:eastAsia="Arial" w:hAnsi="Arial" w:cs="Arial"/>
          <w:b/>
          <w:color w:val="595959"/>
          <w:sz w:val="44"/>
          <w:szCs w:val="44"/>
        </w:rPr>
      </w:pPr>
    </w:p>
    <w:p w:rsidR="005E2F24" w:rsidRDefault="005E2F24">
      <w:pPr>
        <w:rPr>
          <w:rFonts w:ascii="Arial" w:eastAsia="Arial" w:hAnsi="Arial" w:cs="Arial"/>
          <w:b/>
          <w:color w:val="595959"/>
          <w:sz w:val="44"/>
          <w:szCs w:val="44"/>
        </w:rPr>
      </w:pPr>
    </w:p>
    <w:p w:rsidR="005E2F24" w:rsidRDefault="005E2F24">
      <w:pPr>
        <w:rPr>
          <w:rFonts w:ascii="Arial" w:eastAsia="Arial" w:hAnsi="Arial" w:cs="Arial"/>
          <w:b/>
          <w:color w:val="595959"/>
          <w:sz w:val="44"/>
          <w:szCs w:val="44"/>
        </w:rPr>
      </w:pPr>
    </w:p>
    <w:p w:rsidR="005E2F24" w:rsidRDefault="005E2F24">
      <w:pPr>
        <w:rPr>
          <w:rFonts w:ascii="Arial" w:eastAsia="Arial" w:hAnsi="Arial" w:cs="Arial"/>
          <w:b/>
          <w:color w:val="595959"/>
          <w:sz w:val="44"/>
          <w:szCs w:val="44"/>
        </w:rPr>
      </w:pPr>
    </w:p>
    <w:p w:rsidR="005E2F24" w:rsidRDefault="002D4583">
      <w:pPr>
        <w:spacing w:after="0"/>
        <w:jc w:val="both"/>
        <w:rPr>
          <w:rFonts w:ascii="Arial" w:eastAsia="Arial" w:hAnsi="Arial" w:cs="Arial"/>
          <w:color w:val="595959"/>
          <w:sz w:val="32"/>
          <w:szCs w:val="32"/>
        </w:rPr>
      </w:pPr>
      <w:r>
        <w:rPr>
          <w:rFonts w:ascii="Arial" w:eastAsia="Arial" w:hAnsi="Arial" w:cs="Arial"/>
          <w:b/>
          <w:color w:val="595959"/>
          <w:sz w:val="32"/>
          <w:szCs w:val="32"/>
        </w:rPr>
        <w:t>DATASET:</w:t>
      </w:r>
      <w:r>
        <w:rPr>
          <w:rFonts w:ascii="Arial" w:eastAsia="Arial" w:hAnsi="Arial" w:cs="Arial"/>
          <w:b/>
          <w:color w:val="595959"/>
          <w:sz w:val="32"/>
          <w:szCs w:val="32"/>
        </w:rPr>
        <w:br/>
      </w:r>
      <w:r>
        <w:rPr>
          <w:rFonts w:ascii="Arial" w:eastAsia="Arial" w:hAnsi="Arial" w:cs="Arial"/>
          <w:color w:val="595959"/>
          <w:sz w:val="32"/>
          <w:szCs w:val="32"/>
        </w:rPr>
        <w:t>PROYECTOS DE</w:t>
      </w:r>
      <w:bookmarkStart w:id="0" w:name="_GoBack"/>
      <w:bookmarkEnd w:id="0"/>
      <w:r>
        <w:rPr>
          <w:rFonts w:ascii="Arial" w:eastAsia="Arial" w:hAnsi="Arial" w:cs="Arial"/>
          <w:color w:val="595959"/>
          <w:sz w:val="32"/>
          <w:szCs w:val="32"/>
        </w:rPr>
        <w:t xml:space="preserve"> AGUA Y SANEAMIENTO EN LA MODALIDAD DE "NÚCLEO EJECUTOR" A CARGO DEL PNSU</w:t>
      </w:r>
    </w:p>
    <w:p w:rsidR="005E2F24" w:rsidRDefault="002D4583">
      <w:pPr>
        <w:spacing w:after="0"/>
        <w:rPr>
          <w:rFonts w:ascii="Arial" w:eastAsia="Arial" w:hAnsi="Arial" w:cs="Arial"/>
          <w:b/>
          <w:color w:val="595959"/>
          <w:sz w:val="32"/>
          <w:szCs w:val="32"/>
        </w:rPr>
      </w:pPr>
      <w:r>
        <w:rPr>
          <w:rFonts w:ascii="Arial" w:eastAsia="Arial" w:hAnsi="Arial" w:cs="Arial"/>
          <w:b/>
          <w:color w:val="595959"/>
          <w:sz w:val="32"/>
          <w:szCs w:val="32"/>
        </w:rPr>
        <w:br/>
        <w:t>CÓDIGO DATASET:</w:t>
      </w:r>
    </w:p>
    <w:p w:rsidR="005E2F24" w:rsidRDefault="002D4583">
      <w:pPr>
        <w:spacing w:after="0"/>
        <w:rPr>
          <w:rFonts w:ascii="Arial" w:eastAsia="Arial" w:hAnsi="Arial" w:cs="Arial"/>
          <w:color w:val="595959"/>
          <w:sz w:val="32"/>
          <w:szCs w:val="32"/>
        </w:rPr>
      </w:pPr>
      <w:r>
        <w:rPr>
          <w:rFonts w:ascii="Arial" w:eastAsia="Arial" w:hAnsi="Arial" w:cs="Arial"/>
          <w:color w:val="595959"/>
          <w:sz w:val="32"/>
          <w:szCs w:val="32"/>
          <w:highlight w:val="yellow"/>
        </w:rPr>
        <w:t>010</w:t>
      </w:r>
    </w:p>
    <w:p w:rsidR="005E2F24" w:rsidRDefault="005E2F24">
      <w:pPr>
        <w:rPr>
          <w:rFonts w:ascii="Arial" w:eastAsia="Arial" w:hAnsi="Arial" w:cs="Arial"/>
          <w:b/>
          <w:color w:val="595959"/>
          <w:sz w:val="36"/>
          <w:szCs w:val="36"/>
        </w:rPr>
      </w:pPr>
    </w:p>
    <w:p w:rsidR="005E2F24" w:rsidRDefault="005E2F24">
      <w:pPr>
        <w:rPr>
          <w:rFonts w:ascii="Arial" w:eastAsia="Arial" w:hAnsi="Arial" w:cs="Arial"/>
          <w:b/>
          <w:color w:val="595959"/>
          <w:sz w:val="44"/>
          <w:szCs w:val="44"/>
        </w:rPr>
      </w:pPr>
    </w:p>
    <w:p w:rsidR="005E2F24" w:rsidRDefault="002D4583">
      <w:pPr>
        <w:spacing w:after="0"/>
        <w:jc w:val="right"/>
        <w:rPr>
          <w:rFonts w:ascii="Arial" w:eastAsia="Arial" w:hAnsi="Arial" w:cs="Arial"/>
          <w:b/>
          <w:color w:val="595959"/>
          <w:sz w:val="28"/>
          <w:szCs w:val="28"/>
        </w:rPr>
      </w:pPr>
      <w:r>
        <w:rPr>
          <w:rFonts w:ascii="Arial" w:eastAsia="Arial" w:hAnsi="Arial" w:cs="Arial"/>
          <w:b/>
          <w:color w:val="595959"/>
          <w:sz w:val="28"/>
          <w:szCs w:val="28"/>
        </w:rPr>
        <w:t>MINISTERIO DE VIVIENDA, CONSTRUCCIÓN Y SANEAMIENTO</w:t>
      </w:r>
    </w:p>
    <w:p w:rsidR="005E2F24" w:rsidRDefault="002D4583">
      <w:pPr>
        <w:spacing w:after="0"/>
        <w:jc w:val="right"/>
        <w:rPr>
          <w:rFonts w:ascii="Arial" w:eastAsia="Arial" w:hAnsi="Arial" w:cs="Arial"/>
          <w:sz w:val="14"/>
          <w:szCs w:val="14"/>
        </w:rPr>
      </w:pPr>
      <w:r>
        <w:rPr>
          <w:rFonts w:ascii="Arial" w:eastAsia="Arial" w:hAnsi="Arial" w:cs="Arial"/>
          <w:b/>
          <w:color w:val="595959"/>
          <w:sz w:val="28"/>
          <w:szCs w:val="28"/>
        </w:rPr>
        <w:t>PROGRAMA NACIONAL DE SANEAMIENTO URBANO</w:t>
      </w:r>
    </w:p>
    <w:p w:rsidR="005E2F24" w:rsidRDefault="002D4583">
      <w:pPr>
        <w:numPr>
          <w:ilvl w:val="0"/>
          <w:numId w:val="1"/>
        </w:numPr>
        <w:pBdr>
          <w:top w:val="nil"/>
          <w:left w:val="nil"/>
          <w:bottom w:val="nil"/>
          <w:right w:val="nil"/>
          <w:between w:val="nil"/>
        </w:pBdr>
        <w:rPr>
          <w:rFonts w:ascii="Arial" w:eastAsia="Arial" w:hAnsi="Arial" w:cs="Arial"/>
          <w:b/>
          <w:color w:val="000000"/>
        </w:rPr>
      </w:pPr>
      <w:r>
        <w:br w:type="page"/>
      </w:r>
      <w:r>
        <w:rPr>
          <w:rFonts w:ascii="Arial" w:eastAsia="Arial" w:hAnsi="Arial" w:cs="Arial"/>
          <w:b/>
          <w:color w:val="000000"/>
        </w:rPr>
        <w:lastRenderedPageBreak/>
        <w:t>Resumen</w:t>
      </w:r>
    </w:p>
    <w:p w:rsidR="005E2F24" w:rsidRDefault="002D4583">
      <w:pPr>
        <w:ind w:left="360"/>
        <w:jc w:val="both"/>
        <w:rPr>
          <w:rFonts w:ascii="Arial" w:eastAsia="Arial" w:hAnsi="Arial" w:cs="Arial"/>
        </w:rPr>
      </w:pPr>
      <w:r>
        <w:rPr>
          <w:rFonts w:ascii="Arial" w:eastAsia="Arial" w:hAnsi="Arial" w:cs="Arial"/>
        </w:rPr>
        <w:t>La Base de Datos, muestra información de la cartera de proyectos a cargo del Programa Nacional de Saneamiento Urbano (PNSU), en la modalidad de “Núcleo Ejecutor”. Estos proyectos según la etapa en la que se encuentran son Obras, Expedientes Técnicos y Estu</w:t>
      </w:r>
      <w:r>
        <w:rPr>
          <w:rFonts w:ascii="Arial" w:eastAsia="Arial" w:hAnsi="Arial" w:cs="Arial"/>
        </w:rPr>
        <w:t xml:space="preserve">dios de Pre inversión que a la fecha se encuentran en Elaboración, Proceso de Convocatoria, Ejecución, entre otros.  </w:t>
      </w:r>
    </w:p>
    <w:p w:rsidR="005E2F24" w:rsidRDefault="002D4583">
      <w:pPr>
        <w:ind w:left="360"/>
        <w:jc w:val="both"/>
        <w:rPr>
          <w:rFonts w:ascii="Arial" w:eastAsia="Arial" w:hAnsi="Arial" w:cs="Arial"/>
        </w:rPr>
      </w:pPr>
      <w:r>
        <w:rPr>
          <w:rFonts w:ascii="Arial" w:eastAsia="Arial" w:hAnsi="Arial" w:cs="Arial"/>
        </w:rPr>
        <w:t>Los Núcleos Ejecutores (NE), son organizaciones de carácter temporal que se constituyen sobre la base de agrupaciones particulares organiz</w:t>
      </w:r>
      <w:r>
        <w:rPr>
          <w:rFonts w:ascii="Arial" w:eastAsia="Arial" w:hAnsi="Arial" w:cs="Arial"/>
        </w:rPr>
        <w:t>adas, son personas jurídicas que se pueden constituir sobre la base de la comisión de usuarios, juntas de usuarios, comunidades campesinas, municipalidades de centros poblados, u otra organización afín al Sector, que se organizan para la ejecución de inver</w:t>
      </w:r>
      <w:r>
        <w:rPr>
          <w:rFonts w:ascii="Arial" w:eastAsia="Arial" w:hAnsi="Arial" w:cs="Arial"/>
        </w:rPr>
        <w:t>siones de agua y saneamiento.</w:t>
      </w:r>
    </w:p>
    <w:p w:rsidR="005E2F24" w:rsidRDefault="002D4583">
      <w:pPr>
        <w:numPr>
          <w:ilvl w:val="0"/>
          <w:numId w:val="1"/>
        </w:num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Fuente del DATASET</w:t>
      </w:r>
    </w:p>
    <w:p w:rsidR="005E2F24" w:rsidRDefault="005E2F24">
      <w:pPr>
        <w:pBdr>
          <w:top w:val="nil"/>
          <w:left w:val="nil"/>
          <w:bottom w:val="nil"/>
          <w:right w:val="nil"/>
          <w:between w:val="nil"/>
        </w:pBdr>
        <w:spacing w:after="0"/>
        <w:ind w:left="360"/>
        <w:rPr>
          <w:rFonts w:ascii="Arial" w:eastAsia="Arial" w:hAnsi="Arial" w:cs="Arial"/>
          <w:b/>
          <w:color w:val="000000"/>
        </w:rPr>
      </w:pPr>
    </w:p>
    <w:p w:rsidR="005E2F24" w:rsidRDefault="002D4583">
      <w:pPr>
        <w:pBdr>
          <w:top w:val="nil"/>
          <w:left w:val="nil"/>
          <w:bottom w:val="nil"/>
          <w:right w:val="nil"/>
          <w:between w:val="nil"/>
        </w:pBdr>
        <w:spacing w:after="0"/>
        <w:ind w:left="360"/>
        <w:jc w:val="both"/>
        <w:rPr>
          <w:rFonts w:ascii="Arial" w:eastAsia="Arial" w:hAnsi="Arial" w:cs="Arial"/>
          <w:color w:val="000000"/>
        </w:rPr>
      </w:pPr>
      <w:r>
        <w:rPr>
          <w:rFonts w:ascii="Arial" w:eastAsia="Arial" w:hAnsi="Arial" w:cs="Arial"/>
          <w:color w:val="000000"/>
        </w:rPr>
        <w:t>Sistema de Seguimiento de Proyectos – SSP del Ministerio de Vivienda, Construcción y Saneamiento</w:t>
      </w:r>
    </w:p>
    <w:p w:rsidR="005E2F24" w:rsidRDefault="005E2F24">
      <w:pPr>
        <w:pBdr>
          <w:top w:val="nil"/>
          <w:left w:val="nil"/>
          <w:bottom w:val="nil"/>
          <w:right w:val="nil"/>
          <w:between w:val="nil"/>
        </w:pBdr>
        <w:spacing w:after="0"/>
        <w:ind w:left="360"/>
        <w:rPr>
          <w:rFonts w:ascii="Arial" w:eastAsia="Arial" w:hAnsi="Arial" w:cs="Arial"/>
          <w:b/>
          <w:color w:val="000000"/>
        </w:rPr>
      </w:pPr>
    </w:p>
    <w:p w:rsidR="005E2F24" w:rsidRDefault="002D4583">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Diccionario de datos</w:t>
      </w:r>
    </w:p>
    <w:tbl>
      <w:tblPr>
        <w:tblStyle w:val="a"/>
        <w:tblW w:w="81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7"/>
        <w:gridCol w:w="4110"/>
        <w:gridCol w:w="1843"/>
      </w:tblGrid>
      <w:tr w:rsidR="005E2F24">
        <w:trPr>
          <w:trHeight w:val="265"/>
        </w:trPr>
        <w:tc>
          <w:tcPr>
            <w:tcW w:w="2167" w:type="dxa"/>
            <w:shd w:val="clear" w:color="auto" w:fill="DEEAF6"/>
          </w:tcPr>
          <w:p w:rsidR="005E2F24" w:rsidRDefault="002D4583">
            <w:pPr>
              <w:pBdr>
                <w:top w:val="nil"/>
                <w:left w:val="nil"/>
                <w:bottom w:val="nil"/>
                <w:right w:val="nil"/>
                <w:between w:val="nil"/>
              </w:pBdr>
              <w:spacing w:before="23"/>
              <w:ind w:left="499"/>
              <w:rPr>
                <w:rFonts w:ascii="Arial" w:eastAsia="Arial" w:hAnsi="Arial" w:cs="Arial"/>
                <w:b/>
                <w:color w:val="000000"/>
                <w:sz w:val="16"/>
                <w:szCs w:val="16"/>
              </w:rPr>
            </w:pPr>
            <w:r>
              <w:rPr>
                <w:rFonts w:ascii="Arial" w:eastAsia="Arial" w:hAnsi="Arial" w:cs="Arial"/>
                <w:b/>
                <w:color w:val="000000"/>
                <w:sz w:val="16"/>
                <w:szCs w:val="16"/>
              </w:rPr>
              <w:t>Atributos</w:t>
            </w:r>
          </w:p>
        </w:tc>
        <w:tc>
          <w:tcPr>
            <w:tcW w:w="4110" w:type="dxa"/>
            <w:shd w:val="clear" w:color="auto" w:fill="DEEAF6"/>
          </w:tcPr>
          <w:p w:rsidR="005E2F24" w:rsidRDefault="002D4583">
            <w:pPr>
              <w:pBdr>
                <w:top w:val="nil"/>
                <w:left w:val="nil"/>
                <w:bottom w:val="nil"/>
                <w:right w:val="nil"/>
                <w:between w:val="nil"/>
              </w:pBdr>
              <w:spacing w:before="23"/>
              <w:ind w:left="107" w:right="175"/>
              <w:jc w:val="center"/>
              <w:rPr>
                <w:rFonts w:ascii="Arial" w:eastAsia="Arial" w:hAnsi="Arial" w:cs="Arial"/>
                <w:b/>
                <w:color w:val="000000"/>
                <w:sz w:val="20"/>
                <w:szCs w:val="20"/>
              </w:rPr>
            </w:pPr>
            <w:r>
              <w:rPr>
                <w:rFonts w:ascii="Arial" w:eastAsia="Arial" w:hAnsi="Arial" w:cs="Arial"/>
                <w:b/>
                <w:color w:val="000000"/>
                <w:sz w:val="20"/>
                <w:szCs w:val="20"/>
              </w:rPr>
              <w:t>Descripción</w:t>
            </w:r>
          </w:p>
        </w:tc>
        <w:tc>
          <w:tcPr>
            <w:tcW w:w="1843" w:type="dxa"/>
            <w:shd w:val="clear" w:color="auto" w:fill="DEEAF6"/>
          </w:tcPr>
          <w:p w:rsidR="005E2F24" w:rsidRDefault="002D4583">
            <w:pPr>
              <w:pBdr>
                <w:top w:val="nil"/>
                <w:left w:val="nil"/>
                <w:bottom w:val="nil"/>
                <w:right w:val="nil"/>
                <w:between w:val="nil"/>
              </w:pBdr>
              <w:spacing w:before="23"/>
              <w:ind w:left="107" w:right="93"/>
              <w:jc w:val="center"/>
              <w:rPr>
                <w:rFonts w:ascii="Arial" w:eastAsia="Arial" w:hAnsi="Arial" w:cs="Arial"/>
                <w:b/>
                <w:color w:val="000000"/>
                <w:sz w:val="20"/>
                <w:szCs w:val="20"/>
              </w:rPr>
            </w:pPr>
            <w:r>
              <w:rPr>
                <w:rFonts w:ascii="Arial" w:eastAsia="Arial" w:hAnsi="Arial" w:cs="Arial"/>
                <w:b/>
                <w:color w:val="000000"/>
                <w:sz w:val="20"/>
                <w:szCs w:val="20"/>
              </w:rPr>
              <w:t>Formato</w:t>
            </w:r>
          </w:p>
        </w:tc>
      </w:tr>
      <w:tr w:rsidR="005E2F24">
        <w:trPr>
          <w:trHeight w:val="315"/>
        </w:trPr>
        <w:tc>
          <w:tcPr>
            <w:tcW w:w="2167" w:type="dxa"/>
            <w:vAlign w:val="center"/>
          </w:tcPr>
          <w:p w:rsidR="005E2F24" w:rsidRDefault="002D4583">
            <w:pPr>
              <w:spacing w:before="1"/>
              <w:ind w:left="110"/>
              <w:jc w:val="center"/>
              <w:rPr>
                <w:rFonts w:ascii="Arial" w:eastAsia="Arial" w:hAnsi="Arial" w:cs="Arial"/>
                <w:b/>
                <w:sz w:val="16"/>
                <w:szCs w:val="16"/>
              </w:rPr>
            </w:pPr>
            <w:r>
              <w:rPr>
                <w:rFonts w:ascii="Arial" w:eastAsia="Arial" w:hAnsi="Arial" w:cs="Arial"/>
                <w:b/>
                <w:sz w:val="16"/>
                <w:szCs w:val="16"/>
              </w:rPr>
              <w:t>N</w:t>
            </w:r>
          </w:p>
        </w:tc>
        <w:tc>
          <w:tcPr>
            <w:tcW w:w="4110" w:type="dxa"/>
            <w:vAlign w:val="center"/>
          </w:tcPr>
          <w:p w:rsidR="005E2F24" w:rsidRDefault="002D4583">
            <w:pPr>
              <w:ind w:left="132" w:right="151"/>
              <w:jc w:val="both"/>
              <w:rPr>
                <w:rFonts w:ascii="Arial" w:eastAsia="Arial" w:hAnsi="Arial" w:cs="Arial"/>
                <w:sz w:val="20"/>
                <w:szCs w:val="20"/>
              </w:rPr>
            </w:pPr>
            <w:r>
              <w:rPr>
                <w:rFonts w:ascii="Arial" w:eastAsia="Arial" w:hAnsi="Arial" w:cs="Arial"/>
                <w:sz w:val="20"/>
                <w:szCs w:val="20"/>
              </w:rPr>
              <w:t xml:space="preserve">Número de registro del </w:t>
            </w:r>
            <w:proofErr w:type="spellStart"/>
            <w:r>
              <w:rPr>
                <w:rFonts w:ascii="Arial" w:eastAsia="Arial" w:hAnsi="Arial" w:cs="Arial"/>
                <w:sz w:val="20"/>
                <w:szCs w:val="20"/>
              </w:rPr>
              <w:t>dataset</w:t>
            </w:r>
            <w:proofErr w:type="spellEnd"/>
          </w:p>
        </w:tc>
        <w:tc>
          <w:tcPr>
            <w:tcW w:w="1843" w:type="dxa"/>
            <w:vAlign w:val="center"/>
          </w:tcPr>
          <w:p w:rsidR="005E2F24" w:rsidRDefault="002D4583">
            <w:pPr>
              <w:spacing w:before="1"/>
              <w:ind w:left="107" w:right="96"/>
              <w:jc w:val="center"/>
              <w:rPr>
                <w:rFonts w:ascii="Arial" w:eastAsia="Arial" w:hAnsi="Arial" w:cs="Arial"/>
                <w:b/>
                <w:i/>
                <w:sz w:val="20"/>
                <w:szCs w:val="20"/>
              </w:rPr>
            </w:pPr>
            <w:r>
              <w:rPr>
                <w:rFonts w:ascii="Arial" w:eastAsia="Arial" w:hAnsi="Arial" w:cs="Arial"/>
                <w:b/>
                <w:i/>
                <w:color w:val="000000"/>
                <w:sz w:val="20"/>
                <w:szCs w:val="20"/>
              </w:rPr>
              <w:t>Numérico</w:t>
            </w:r>
          </w:p>
        </w:tc>
      </w:tr>
      <w:tr w:rsidR="005E2F24">
        <w:trPr>
          <w:trHeight w:val="315"/>
        </w:trPr>
        <w:tc>
          <w:tcPr>
            <w:tcW w:w="2167" w:type="dxa"/>
            <w:vAlign w:val="center"/>
          </w:tcPr>
          <w:p w:rsidR="005E2F24" w:rsidRDefault="002D4583">
            <w:pPr>
              <w:ind w:left="110"/>
              <w:jc w:val="center"/>
              <w:rPr>
                <w:rFonts w:ascii="Arial" w:eastAsia="Arial" w:hAnsi="Arial" w:cs="Arial"/>
                <w:b/>
                <w:sz w:val="16"/>
                <w:szCs w:val="16"/>
              </w:rPr>
            </w:pPr>
            <w:r>
              <w:rPr>
                <w:rFonts w:ascii="Arial" w:eastAsia="Arial" w:hAnsi="Arial" w:cs="Arial"/>
                <w:b/>
                <w:sz w:val="16"/>
                <w:szCs w:val="16"/>
              </w:rPr>
              <w:t>CODIGO_PAIS</w:t>
            </w:r>
          </w:p>
        </w:tc>
        <w:tc>
          <w:tcPr>
            <w:tcW w:w="4110" w:type="dxa"/>
            <w:vAlign w:val="center"/>
          </w:tcPr>
          <w:p w:rsidR="005E2F24" w:rsidRDefault="002D4583">
            <w:pPr>
              <w:ind w:left="132" w:right="151"/>
              <w:jc w:val="both"/>
              <w:rPr>
                <w:rFonts w:ascii="Arial" w:eastAsia="Arial" w:hAnsi="Arial" w:cs="Arial"/>
                <w:sz w:val="20"/>
                <w:szCs w:val="20"/>
              </w:rPr>
            </w:pPr>
            <w:r>
              <w:rPr>
                <w:rFonts w:ascii="Arial" w:eastAsia="Arial" w:hAnsi="Arial" w:cs="Arial"/>
                <w:sz w:val="20"/>
                <w:szCs w:val="20"/>
              </w:rPr>
              <w:t>Estándar de utilización de países</w:t>
            </w:r>
          </w:p>
          <w:p w:rsidR="005E2F24" w:rsidRDefault="002D4583">
            <w:pPr>
              <w:ind w:left="132" w:right="151"/>
              <w:jc w:val="both"/>
              <w:rPr>
                <w:rFonts w:ascii="Arial" w:eastAsia="Arial" w:hAnsi="Arial" w:cs="Arial"/>
                <w:b/>
                <w:i/>
                <w:sz w:val="20"/>
                <w:szCs w:val="20"/>
              </w:rPr>
            </w:pPr>
            <w:r>
              <w:rPr>
                <w:rFonts w:ascii="Arial" w:eastAsia="Arial" w:hAnsi="Arial" w:cs="Arial"/>
                <w:sz w:val="20"/>
                <w:szCs w:val="20"/>
              </w:rPr>
              <w:t>ISO 3166-1 1 – Los códigos de países son los códigos cortos alfabéticos o numéricos creados para representar a los países</w:t>
            </w:r>
          </w:p>
        </w:tc>
        <w:tc>
          <w:tcPr>
            <w:tcW w:w="1843" w:type="dxa"/>
          </w:tcPr>
          <w:p w:rsidR="005E2F24" w:rsidRDefault="005E2F24">
            <w:pPr>
              <w:spacing w:before="97"/>
              <w:ind w:left="107" w:right="96"/>
              <w:jc w:val="center"/>
              <w:rPr>
                <w:rFonts w:ascii="Arial" w:eastAsia="Arial" w:hAnsi="Arial" w:cs="Arial"/>
                <w:b/>
                <w:i/>
                <w:sz w:val="20"/>
                <w:szCs w:val="20"/>
              </w:rPr>
            </w:pPr>
          </w:p>
          <w:p w:rsidR="005E2F24" w:rsidRDefault="002D4583">
            <w:pPr>
              <w:spacing w:before="97"/>
              <w:ind w:left="107" w:right="96"/>
              <w:jc w:val="center"/>
              <w:rPr>
                <w:rFonts w:ascii="Arial" w:eastAsia="Arial" w:hAnsi="Arial" w:cs="Arial"/>
                <w:b/>
                <w:i/>
                <w:sz w:val="20"/>
                <w:szCs w:val="20"/>
              </w:rPr>
            </w:pPr>
            <w:r>
              <w:rPr>
                <w:rFonts w:ascii="Arial" w:eastAsia="Arial" w:hAnsi="Arial" w:cs="Arial"/>
                <w:b/>
                <w:i/>
                <w:sz w:val="20"/>
                <w:szCs w:val="20"/>
              </w:rPr>
              <w:t>Alfanumérico</w:t>
            </w:r>
          </w:p>
          <w:p w:rsidR="005E2F24" w:rsidRDefault="005E2F24">
            <w:pPr>
              <w:spacing w:before="97"/>
              <w:ind w:left="107" w:right="96"/>
              <w:jc w:val="center"/>
              <w:rPr>
                <w:rFonts w:ascii="Arial" w:eastAsia="Arial" w:hAnsi="Arial" w:cs="Arial"/>
                <w:b/>
                <w:i/>
                <w:sz w:val="20"/>
                <w:szCs w:val="20"/>
              </w:rPr>
            </w:pPr>
          </w:p>
          <w:p w:rsidR="005E2F24" w:rsidRDefault="005E2F24">
            <w:pPr>
              <w:spacing w:before="97"/>
              <w:ind w:left="107" w:right="96"/>
              <w:jc w:val="center"/>
              <w:rPr>
                <w:rFonts w:ascii="Arial" w:eastAsia="Arial" w:hAnsi="Arial" w:cs="Arial"/>
                <w:b/>
                <w:i/>
                <w:sz w:val="20"/>
                <w:szCs w:val="20"/>
              </w:rPr>
            </w:pPr>
          </w:p>
        </w:tc>
      </w:tr>
      <w:tr w:rsidR="005E2F24">
        <w:trPr>
          <w:trHeight w:val="315"/>
        </w:trPr>
        <w:tc>
          <w:tcPr>
            <w:tcW w:w="2167" w:type="dxa"/>
          </w:tcPr>
          <w:p w:rsidR="005E2F24" w:rsidRDefault="005E2F24">
            <w:pPr>
              <w:spacing w:line="169" w:lineRule="auto"/>
              <w:ind w:left="110"/>
              <w:jc w:val="center"/>
              <w:rPr>
                <w:rFonts w:ascii="Arial" w:eastAsia="Arial" w:hAnsi="Arial" w:cs="Arial"/>
                <w:b/>
                <w:sz w:val="16"/>
                <w:szCs w:val="16"/>
              </w:rPr>
            </w:pPr>
          </w:p>
          <w:p w:rsidR="005E2F24" w:rsidRDefault="002D4583">
            <w:pPr>
              <w:ind w:left="110"/>
              <w:jc w:val="center"/>
              <w:rPr>
                <w:rFonts w:ascii="Arial" w:eastAsia="Arial" w:hAnsi="Arial" w:cs="Arial"/>
                <w:b/>
                <w:sz w:val="16"/>
                <w:szCs w:val="16"/>
              </w:rPr>
            </w:pPr>
            <w:r>
              <w:rPr>
                <w:rFonts w:ascii="Arial" w:eastAsia="Arial" w:hAnsi="Arial" w:cs="Arial"/>
                <w:b/>
                <w:sz w:val="16"/>
                <w:szCs w:val="16"/>
              </w:rPr>
              <w:t>CÓDIGO_ENTIDAD</w:t>
            </w:r>
          </w:p>
        </w:tc>
        <w:tc>
          <w:tcPr>
            <w:tcW w:w="4110" w:type="dxa"/>
          </w:tcPr>
          <w:p w:rsidR="005E2F24" w:rsidRDefault="002D4583">
            <w:pPr>
              <w:ind w:left="132" w:right="151"/>
              <w:jc w:val="both"/>
              <w:rPr>
                <w:rFonts w:ascii="Arial" w:eastAsia="Arial" w:hAnsi="Arial" w:cs="Arial"/>
                <w:b/>
                <w:i/>
                <w:sz w:val="20"/>
                <w:szCs w:val="20"/>
              </w:rPr>
            </w:pPr>
            <w:r>
              <w:rPr>
                <w:rFonts w:ascii="Arial" w:eastAsia="Arial" w:hAnsi="Arial" w:cs="Arial"/>
                <w:sz w:val="20"/>
                <w:szCs w:val="20"/>
              </w:rPr>
              <w:t>Código del Ministerio de Vivienda, Construcción y Saneamiento, institución que brinda el servicio</w:t>
            </w:r>
          </w:p>
        </w:tc>
        <w:tc>
          <w:tcPr>
            <w:tcW w:w="1843" w:type="dxa"/>
          </w:tcPr>
          <w:p w:rsidR="005E2F24" w:rsidRDefault="005E2F24">
            <w:pPr>
              <w:spacing w:before="1"/>
              <w:ind w:left="107" w:right="96"/>
              <w:jc w:val="center"/>
              <w:rPr>
                <w:rFonts w:ascii="Arial" w:eastAsia="Arial" w:hAnsi="Arial" w:cs="Arial"/>
                <w:b/>
                <w:i/>
                <w:color w:val="000000"/>
                <w:sz w:val="20"/>
                <w:szCs w:val="20"/>
              </w:rPr>
            </w:pPr>
          </w:p>
          <w:p w:rsidR="005E2F24" w:rsidRDefault="002D4583">
            <w:pPr>
              <w:spacing w:before="1"/>
              <w:ind w:left="107" w:right="96"/>
              <w:jc w:val="center"/>
              <w:rPr>
                <w:rFonts w:ascii="Arial" w:eastAsia="Arial" w:hAnsi="Arial" w:cs="Arial"/>
                <w:b/>
                <w:i/>
                <w:sz w:val="20"/>
                <w:szCs w:val="20"/>
              </w:rPr>
            </w:pPr>
            <w:r>
              <w:rPr>
                <w:rFonts w:ascii="Arial" w:eastAsia="Arial" w:hAnsi="Arial" w:cs="Arial"/>
                <w:b/>
                <w:i/>
                <w:color w:val="000000"/>
                <w:sz w:val="20"/>
                <w:szCs w:val="20"/>
              </w:rPr>
              <w:t>Numérico</w:t>
            </w:r>
          </w:p>
        </w:tc>
      </w:tr>
      <w:tr w:rsidR="005E2F24">
        <w:trPr>
          <w:trHeight w:val="315"/>
        </w:trPr>
        <w:tc>
          <w:tcPr>
            <w:tcW w:w="2167" w:type="dxa"/>
            <w:vAlign w:val="center"/>
          </w:tcPr>
          <w:p w:rsidR="005E2F24" w:rsidRDefault="002D4583">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PROGRAMA</w:t>
            </w:r>
          </w:p>
        </w:tc>
        <w:tc>
          <w:tcPr>
            <w:tcW w:w="4110" w:type="dxa"/>
            <w:vAlign w:val="center"/>
          </w:tcPr>
          <w:p w:rsidR="005E2F24" w:rsidRDefault="002D4583">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El PNSU (Programa Nacional de Saneamiento Urbano), es un Programa del MVCS bajo el ámbito del Viceministerio de Construcción y Saneamiento, orientado a posibilitar el acceso a la población del ámbito urbano a los servicios de saneamiento de calidad y soste</w:t>
            </w:r>
            <w:r>
              <w:rPr>
                <w:rFonts w:ascii="Arial" w:eastAsia="Arial" w:hAnsi="Arial" w:cs="Arial"/>
                <w:sz w:val="20"/>
                <w:szCs w:val="20"/>
              </w:rPr>
              <w:t xml:space="preserve">nibles. </w:t>
            </w:r>
          </w:p>
        </w:tc>
        <w:tc>
          <w:tcPr>
            <w:tcW w:w="1843" w:type="dxa"/>
            <w:vAlign w:val="center"/>
          </w:tcPr>
          <w:p w:rsidR="005E2F24" w:rsidRDefault="002D4583">
            <w:pPr>
              <w:spacing w:before="1"/>
              <w:ind w:left="107"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5E2F24">
        <w:trPr>
          <w:trHeight w:val="315"/>
        </w:trPr>
        <w:tc>
          <w:tcPr>
            <w:tcW w:w="2167" w:type="dxa"/>
            <w:vAlign w:val="center"/>
          </w:tcPr>
          <w:p w:rsidR="005E2F24" w:rsidRDefault="002D4583">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CODIGO_SNIP</w:t>
            </w:r>
          </w:p>
        </w:tc>
        <w:tc>
          <w:tcPr>
            <w:tcW w:w="4110" w:type="dxa"/>
            <w:vAlign w:val="center"/>
          </w:tcPr>
          <w:p w:rsidR="005E2F24" w:rsidRDefault="002D4583">
            <w:pPr>
              <w:ind w:left="132" w:right="151"/>
              <w:rPr>
                <w:rFonts w:ascii="Arial" w:eastAsia="Arial" w:hAnsi="Arial" w:cs="Arial"/>
                <w:sz w:val="20"/>
                <w:szCs w:val="20"/>
              </w:rPr>
            </w:pPr>
            <w:r>
              <w:rPr>
                <w:rFonts w:ascii="Arial" w:eastAsia="Arial" w:hAnsi="Arial" w:cs="Arial"/>
                <w:sz w:val="20"/>
                <w:szCs w:val="20"/>
              </w:rPr>
              <w:t>Es un número autogenerado que es asignado automáticamente para la identificación de un Proyecto Inversión Pública (PIP) tras su registro en el banco de proyectos, empleado anteriormente en el SNIP</w:t>
            </w:r>
          </w:p>
        </w:tc>
        <w:tc>
          <w:tcPr>
            <w:tcW w:w="1843" w:type="dxa"/>
            <w:vAlign w:val="center"/>
          </w:tcPr>
          <w:p w:rsidR="005E2F24" w:rsidRDefault="002D4583">
            <w:pPr>
              <w:spacing w:before="1"/>
              <w:ind w:left="107" w:right="96"/>
              <w:jc w:val="center"/>
              <w:rPr>
                <w:rFonts w:ascii="Arial" w:eastAsia="Arial" w:hAnsi="Arial" w:cs="Arial"/>
                <w:b/>
                <w:i/>
                <w:color w:val="000000"/>
                <w:sz w:val="20"/>
                <w:szCs w:val="20"/>
              </w:rPr>
            </w:pPr>
            <w:r>
              <w:rPr>
                <w:rFonts w:ascii="Arial" w:eastAsia="Arial" w:hAnsi="Arial" w:cs="Arial"/>
                <w:b/>
                <w:i/>
                <w:color w:val="000000"/>
                <w:sz w:val="20"/>
                <w:szCs w:val="20"/>
              </w:rPr>
              <w:t>Numérico</w:t>
            </w:r>
          </w:p>
        </w:tc>
      </w:tr>
      <w:tr w:rsidR="005E2F24">
        <w:trPr>
          <w:trHeight w:val="315"/>
        </w:trPr>
        <w:tc>
          <w:tcPr>
            <w:tcW w:w="2167" w:type="dxa"/>
            <w:vAlign w:val="center"/>
          </w:tcPr>
          <w:p w:rsidR="005E2F24" w:rsidRDefault="002D4583">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CODIGO_UNIFICADO</w:t>
            </w:r>
          </w:p>
        </w:tc>
        <w:tc>
          <w:tcPr>
            <w:tcW w:w="4110" w:type="dxa"/>
            <w:vAlign w:val="center"/>
          </w:tcPr>
          <w:p w:rsidR="005E2F24" w:rsidRDefault="002D4583">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 xml:space="preserve">Es un número autogenerado que es asignado automáticamente para la identificación de un Proyecto Inversión (PI) tras su registro en el banco de </w:t>
            </w:r>
            <w:r>
              <w:rPr>
                <w:rFonts w:ascii="Arial" w:eastAsia="Arial" w:hAnsi="Arial" w:cs="Arial"/>
                <w:sz w:val="20"/>
                <w:szCs w:val="20"/>
              </w:rPr>
              <w:lastRenderedPageBreak/>
              <w:t>inversiones, actualmente empleado en el Invierte.pe</w:t>
            </w:r>
          </w:p>
        </w:tc>
        <w:tc>
          <w:tcPr>
            <w:tcW w:w="1843" w:type="dxa"/>
            <w:vAlign w:val="center"/>
          </w:tcPr>
          <w:p w:rsidR="005E2F24" w:rsidRDefault="002D4583">
            <w:pPr>
              <w:spacing w:before="1"/>
              <w:ind w:left="107" w:right="96"/>
              <w:jc w:val="center"/>
              <w:rPr>
                <w:rFonts w:ascii="Arial" w:eastAsia="Arial" w:hAnsi="Arial" w:cs="Arial"/>
                <w:b/>
                <w:sz w:val="20"/>
                <w:szCs w:val="20"/>
              </w:rPr>
            </w:pPr>
            <w:r>
              <w:rPr>
                <w:rFonts w:ascii="Arial" w:eastAsia="Arial" w:hAnsi="Arial" w:cs="Arial"/>
                <w:b/>
                <w:i/>
                <w:color w:val="000000"/>
                <w:sz w:val="20"/>
                <w:szCs w:val="20"/>
              </w:rPr>
              <w:lastRenderedPageBreak/>
              <w:t>Numérico</w:t>
            </w:r>
          </w:p>
        </w:tc>
      </w:tr>
      <w:tr w:rsidR="005E2F24">
        <w:trPr>
          <w:trHeight w:val="435"/>
        </w:trPr>
        <w:tc>
          <w:tcPr>
            <w:tcW w:w="2167" w:type="dxa"/>
            <w:vAlign w:val="center"/>
          </w:tcPr>
          <w:p w:rsidR="005E2F24" w:rsidRDefault="005E2F24">
            <w:pPr>
              <w:pBdr>
                <w:top w:val="nil"/>
                <w:left w:val="nil"/>
                <w:bottom w:val="nil"/>
                <w:right w:val="nil"/>
                <w:between w:val="nil"/>
              </w:pBdr>
              <w:ind w:left="110"/>
              <w:jc w:val="center"/>
              <w:rPr>
                <w:rFonts w:ascii="Arial" w:eastAsia="Arial" w:hAnsi="Arial" w:cs="Arial"/>
                <w:b/>
                <w:sz w:val="16"/>
                <w:szCs w:val="16"/>
              </w:rPr>
            </w:pPr>
          </w:p>
          <w:p w:rsidR="005E2F24" w:rsidRDefault="002D4583">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NOMBRE</w:t>
            </w:r>
          </w:p>
        </w:tc>
        <w:tc>
          <w:tcPr>
            <w:tcW w:w="4110" w:type="dxa"/>
            <w:vAlign w:val="center"/>
          </w:tcPr>
          <w:p w:rsidR="005E2F24" w:rsidRDefault="002D4583">
            <w:pPr>
              <w:pBdr>
                <w:top w:val="nil"/>
                <w:left w:val="nil"/>
                <w:bottom w:val="nil"/>
                <w:right w:val="nil"/>
                <w:between w:val="nil"/>
              </w:pBdr>
              <w:ind w:left="132" w:right="151"/>
              <w:jc w:val="both"/>
              <w:rPr>
                <w:rFonts w:ascii="Arial" w:eastAsia="Arial" w:hAnsi="Arial" w:cs="Arial"/>
                <w:sz w:val="20"/>
                <w:szCs w:val="20"/>
              </w:rPr>
            </w:pPr>
            <w:bookmarkStart w:id="1" w:name="_gjdgxs" w:colFirst="0" w:colLast="0"/>
            <w:bookmarkEnd w:id="1"/>
            <w:r>
              <w:rPr>
                <w:rFonts w:ascii="Arial" w:eastAsia="Arial" w:hAnsi="Arial" w:cs="Arial"/>
                <w:sz w:val="20"/>
                <w:szCs w:val="20"/>
              </w:rPr>
              <w:t>Es el nombre asignado a la inversión, la misma que ha sido registrada en el sistema de seguimiento de los proyectos (SSP), así como el Convenio.</w:t>
            </w:r>
          </w:p>
        </w:tc>
        <w:tc>
          <w:tcPr>
            <w:tcW w:w="1843" w:type="dxa"/>
            <w:vAlign w:val="center"/>
          </w:tcPr>
          <w:p w:rsidR="005E2F24" w:rsidRDefault="002D4583">
            <w:pPr>
              <w:spacing w:before="1"/>
              <w:ind w:left="107" w:right="96"/>
              <w:jc w:val="center"/>
              <w:rPr>
                <w:rFonts w:ascii="Arial" w:eastAsia="Arial" w:hAnsi="Arial" w:cs="Arial"/>
                <w:b/>
                <w:sz w:val="20"/>
                <w:szCs w:val="20"/>
              </w:rPr>
            </w:pPr>
            <w:r>
              <w:rPr>
                <w:rFonts w:ascii="Arial" w:eastAsia="Arial" w:hAnsi="Arial" w:cs="Arial"/>
                <w:b/>
                <w:i/>
                <w:color w:val="000000"/>
                <w:sz w:val="20"/>
                <w:szCs w:val="20"/>
              </w:rPr>
              <w:t>Alfanumérico</w:t>
            </w:r>
          </w:p>
        </w:tc>
      </w:tr>
      <w:tr w:rsidR="005E2F24">
        <w:trPr>
          <w:trHeight w:val="515"/>
        </w:trPr>
        <w:tc>
          <w:tcPr>
            <w:tcW w:w="2167" w:type="dxa"/>
            <w:vAlign w:val="center"/>
          </w:tcPr>
          <w:p w:rsidR="005E2F24" w:rsidRDefault="002D4583">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UNIDAD_EJECUTORA</w:t>
            </w:r>
          </w:p>
        </w:tc>
        <w:tc>
          <w:tcPr>
            <w:tcW w:w="4110" w:type="dxa"/>
            <w:vAlign w:val="center"/>
          </w:tcPr>
          <w:p w:rsidR="005E2F24" w:rsidRDefault="002D4583">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Es el nombre asignado a la Unidad Ejecutora de las inversiones, aquella que tienen a su cargo la ejecución y seguimiento del Proyecto de Inversión (PI).</w:t>
            </w:r>
          </w:p>
        </w:tc>
        <w:tc>
          <w:tcPr>
            <w:tcW w:w="1843" w:type="dxa"/>
            <w:vAlign w:val="center"/>
          </w:tcPr>
          <w:p w:rsidR="005E2F24" w:rsidRDefault="002D4583">
            <w:pPr>
              <w:pBdr>
                <w:top w:val="nil"/>
                <w:left w:val="nil"/>
                <w:bottom w:val="nil"/>
                <w:right w:val="nil"/>
                <w:between w:val="nil"/>
              </w:pBdr>
              <w:ind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5E2F24">
        <w:trPr>
          <w:trHeight w:val="285"/>
        </w:trPr>
        <w:tc>
          <w:tcPr>
            <w:tcW w:w="2167" w:type="dxa"/>
            <w:vAlign w:val="center"/>
          </w:tcPr>
          <w:p w:rsidR="005E2F24" w:rsidRDefault="002D4583">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DEPARTAMENTO</w:t>
            </w:r>
          </w:p>
        </w:tc>
        <w:tc>
          <w:tcPr>
            <w:tcW w:w="4110" w:type="dxa"/>
            <w:vAlign w:val="center"/>
          </w:tcPr>
          <w:p w:rsidR="005E2F24" w:rsidRDefault="002D4583">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color w:val="000000"/>
                <w:sz w:val="20"/>
                <w:szCs w:val="20"/>
              </w:rPr>
              <w:t>Son las jurisdicciones políticas y administrativas de mayor nivel en que se divide el Perú. Están dotados de gobiernos regionales autónomos elegidos democráticamente. El Perú cuenta con 24 departamentos.</w:t>
            </w:r>
          </w:p>
        </w:tc>
        <w:tc>
          <w:tcPr>
            <w:tcW w:w="1843" w:type="dxa"/>
            <w:vAlign w:val="center"/>
          </w:tcPr>
          <w:p w:rsidR="005E2F24" w:rsidRDefault="002D4583">
            <w:pPr>
              <w:pBdr>
                <w:top w:val="nil"/>
                <w:left w:val="nil"/>
                <w:bottom w:val="nil"/>
                <w:right w:val="nil"/>
                <w:between w:val="nil"/>
              </w:pBdr>
              <w:ind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5E2F24">
        <w:trPr>
          <w:trHeight w:val="716"/>
        </w:trPr>
        <w:tc>
          <w:tcPr>
            <w:tcW w:w="2167" w:type="dxa"/>
            <w:vAlign w:val="center"/>
          </w:tcPr>
          <w:p w:rsidR="005E2F24" w:rsidRDefault="002D4583">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PROVINCIA</w:t>
            </w:r>
          </w:p>
        </w:tc>
        <w:tc>
          <w:tcPr>
            <w:tcW w:w="4110" w:type="dxa"/>
            <w:vAlign w:val="center"/>
          </w:tcPr>
          <w:p w:rsidR="005E2F24" w:rsidRDefault="002D4583">
            <w:pPr>
              <w:pBdr>
                <w:top w:val="nil"/>
                <w:left w:val="nil"/>
                <w:bottom w:val="nil"/>
                <w:right w:val="nil"/>
                <w:between w:val="nil"/>
              </w:pBdr>
              <w:shd w:val="clear" w:color="auto" w:fill="FFFFFF"/>
              <w:spacing w:before="120" w:after="120"/>
              <w:ind w:left="132" w:right="151"/>
              <w:jc w:val="both"/>
              <w:rPr>
                <w:rFonts w:ascii="Arial" w:eastAsia="Arial" w:hAnsi="Arial" w:cs="Arial"/>
                <w:color w:val="000000"/>
                <w:sz w:val="20"/>
                <w:szCs w:val="20"/>
              </w:rPr>
            </w:pPr>
            <w:r>
              <w:rPr>
                <w:rFonts w:ascii="Arial" w:eastAsia="Arial" w:hAnsi="Arial" w:cs="Arial"/>
                <w:color w:val="000000"/>
                <w:sz w:val="20"/>
                <w:szCs w:val="20"/>
              </w:rPr>
              <w:t>Son subdivisiones de los departamentos; son las jurisdicciones político-administrativos de segundo orden, por detrás de los departamentos y por delante de los distritos y centros poblados. El gobierno de cada provincia está a cargo de una municipalidad pro</w:t>
            </w:r>
            <w:r>
              <w:rPr>
                <w:rFonts w:ascii="Arial" w:eastAsia="Arial" w:hAnsi="Arial" w:cs="Arial"/>
                <w:color w:val="000000"/>
                <w:sz w:val="20"/>
                <w:szCs w:val="20"/>
              </w:rPr>
              <w:t>vincial encabezada por un alcalde elegido por sufragio universal cada cuatro años. El Perú cuenta con un total de 196 provincias.</w:t>
            </w:r>
          </w:p>
        </w:tc>
        <w:tc>
          <w:tcPr>
            <w:tcW w:w="1843" w:type="dxa"/>
            <w:vAlign w:val="center"/>
          </w:tcPr>
          <w:p w:rsidR="005E2F24" w:rsidRDefault="002D4583">
            <w:pPr>
              <w:spacing w:before="1"/>
              <w:ind w:left="107"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5E2F24">
        <w:trPr>
          <w:trHeight w:val="285"/>
        </w:trPr>
        <w:tc>
          <w:tcPr>
            <w:tcW w:w="2167" w:type="dxa"/>
            <w:vAlign w:val="center"/>
          </w:tcPr>
          <w:p w:rsidR="005E2F24" w:rsidRDefault="002D4583">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DISTRITO</w:t>
            </w:r>
          </w:p>
        </w:tc>
        <w:tc>
          <w:tcPr>
            <w:tcW w:w="4110" w:type="dxa"/>
            <w:vAlign w:val="center"/>
          </w:tcPr>
          <w:p w:rsidR="005E2F24" w:rsidRDefault="002D4583">
            <w:pPr>
              <w:pBdr>
                <w:top w:val="nil"/>
                <w:left w:val="nil"/>
                <w:bottom w:val="nil"/>
                <w:right w:val="nil"/>
                <w:between w:val="nil"/>
              </w:pBdr>
              <w:shd w:val="clear" w:color="auto" w:fill="FFFFFF"/>
              <w:spacing w:before="120" w:after="120"/>
              <w:ind w:left="132" w:right="151"/>
              <w:jc w:val="both"/>
              <w:rPr>
                <w:rFonts w:ascii="Arial" w:eastAsia="Arial" w:hAnsi="Arial" w:cs="Arial"/>
                <w:color w:val="000000"/>
                <w:sz w:val="20"/>
                <w:szCs w:val="20"/>
              </w:rPr>
            </w:pPr>
            <w:r>
              <w:rPr>
                <w:rFonts w:ascii="Arial" w:eastAsia="Arial" w:hAnsi="Arial" w:cs="Arial"/>
                <w:color w:val="000000"/>
                <w:sz w:val="20"/>
                <w:szCs w:val="20"/>
              </w:rPr>
              <w:t>Son subdivisiones de las </w:t>
            </w:r>
            <w:hyperlink r:id="rId8">
              <w:r>
                <w:rPr>
                  <w:rFonts w:ascii="Arial" w:eastAsia="Arial" w:hAnsi="Arial" w:cs="Arial"/>
                  <w:color w:val="000000"/>
                  <w:sz w:val="20"/>
                  <w:szCs w:val="20"/>
                </w:rPr>
                <w:t>provincias</w:t>
              </w:r>
            </w:hyperlink>
            <w:r>
              <w:rPr>
                <w:rFonts w:ascii="Arial" w:eastAsia="Arial" w:hAnsi="Arial" w:cs="Arial"/>
                <w:color w:val="000000"/>
                <w:sz w:val="20"/>
                <w:szCs w:val="20"/>
              </w:rPr>
              <w:t>, de menor categoría en jurisdicciones político-administrativos del país. El gobierno de cada distrito está a cargo de una municipalidad distrital encabezada por un alcalde elegido por sufragio universal cada 4 años. El Perú cuenta con un total d</w:t>
            </w:r>
            <w:r>
              <w:rPr>
                <w:rFonts w:ascii="Arial" w:eastAsia="Arial" w:hAnsi="Arial" w:cs="Arial"/>
                <w:color w:val="000000"/>
                <w:sz w:val="20"/>
                <w:szCs w:val="20"/>
              </w:rPr>
              <w:t xml:space="preserve">e 1874 distritos en el Perú. </w:t>
            </w:r>
          </w:p>
        </w:tc>
        <w:tc>
          <w:tcPr>
            <w:tcW w:w="1843" w:type="dxa"/>
            <w:vAlign w:val="center"/>
          </w:tcPr>
          <w:p w:rsidR="005E2F24" w:rsidRDefault="002D4583">
            <w:pPr>
              <w:spacing w:before="1"/>
              <w:ind w:left="107"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5E2F24">
        <w:trPr>
          <w:trHeight w:val="285"/>
        </w:trPr>
        <w:tc>
          <w:tcPr>
            <w:tcW w:w="2167" w:type="dxa"/>
            <w:vAlign w:val="center"/>
          </w:tcPr>
          <w:p w:rsidR="005E2F24" w:rsidRDefault="002D4583">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POBLACION_BENEFICIADA_SSP</w:t>
            </w:r>
          </w:p>
        </w:tc>
        <w:tc>
          <w:tcPr>
            <w:tcW w:w="4110" w:type="dxa"/>
            <w:vAlign w:val="center"/>
          </w:tcPr>
          <w:p w:rsidR="005E2F24" w:rsidRDefault="002D4583">
            <w:pPr>
              <w:pBdr>
                <w:top w:val="nil"/>
                <w:left w:val="nil"/>
                <w:bottom w:val="nil"/>
                <w:right w:val="nil"/>
                <w:between w:val="nil"/>
              </w:pBdr>
              <w:shd w:val="clear" w:color="auto" w:fill="FFFFFF"/>
              <w:spacing w:before="120" w:after="120"/>
              <w:ind w:left="132" w:right="151"/>
              <w:jc w:val="both"/>
              <w:rPr>
                <w:rFonts w:ascii="Arial" w:eastAsia="Arial" w:hAnsi="Arial" w:cs="Arial"/>
                <w:color w:val="000000"/>
                <w:sz w:val="20"/>
                <w:szCs w:val="20"/>
              </w:rPr>
            </w:pPr>
            <w:r>
              <w:rPr>
                <w:rFonts w:ascii="Arial" w:eastAsia="Arial" w:hAnsi="Arial" w:cs="Arial"/>
                <w:sz w:val="20"/>
                <w:szCs w:val="20"/>
              </w:rPr>
              <w:t>Es el número de habitantes que se encuentran en el ámbito de intervención del proyecto, los mismos que se beneficiarán con la inversión (durante el desarrollo del proyecto, este dato se registra en el Sistema de Seguimiento de Proyectos (SSP) del MVCS.</w:t>
            </w:r>
          </w:p>
        </w:tc>
        <w:tc>
          <w:tcPr>
            <w:tcW w:w="1843" w:type="dxa"/>
            <w:vAlign w:val="center"/>
          </w:tcPr>
          <w:p w:rsidR="005E2F24" w:rsidRDefault="002D4583">
            <w:pPr>
              <w:spacing w:before="1"/>
              <w:ind w:left="107" w:right="96"/>
              <w:jc w:val="center"/>
              <w:rPr>
                <w:rFonts w:ascii="Arial" w:eastAsia="Arial" w:hAnsi="Arial" w:cs="Arial"/>
                <w:b/>
                <w:i/>
                <w:color w:val="000000"/>
                <w:sz w:val="20"/>
                <w:szCs w:val="20"/>
              </w:rPr>
            </w:pPr>
            <w:r>
              <w:rPr>
                <w:rFonts w:ascii="Arial" w:eastAsia="Arial" w:hAnsi="Arial" w:cs="Arial"/>
                <w:b/>
                <w:i/>
                <w:color w:val="000000"/>
                <w:sz w:val="20"/>
                <w:szCs w:val="20"/>
              </w:rPr>
              <w:t>Numérico</w:t>
            </w:r>
          </w:p>
        </w:tc>
      </w:tr>
      <w:tr w:rsidR="005E2F24">
        <w:trPr>
          <w:trHeight w:val="285"/>
        </w:trPr>
        <w:tc>
          <w:tcPr>
            <w:tcW w:w="2167" w:type="dxa"/>
          </w:tcPr>
          <w:p w:rsidR="005E2F24" w:rsidRDefault="002D4583">
            <w:pPr>
              <w:ind w:left="110"/>
              <w:jc w:val="center"/>
              <w:rPr>
                <w:rFonts w:ascii="Arial" w:eastAsia="Arial" w:hAnsi="Arial" w:cs="Arial"/>
                <w:b/>
                <w:sz w:val="16"/>
                <w:szCs w:val="16"/>
              </w:rPr>
            </w:pPr>
            <w:r>
              <w:rPr>
                <w:rFonts w:ascii="Arial" w:eastAsia="Arial" w:hAnsi="Arial" w:cs="Arial"/>
                <w:b/>
                <w:sz w:val="16"/>
                <w:szCs w:val="16"/>
              </w:rPr>
              <w:t>CONVENIO</w:t>
            </w:r>
          </w:p>
        </w:tc>
        <w:tc>
          <w:tcPr>
            <w:tcW w:w="4110" w:type="dxa"/>
          </w:tcPr>
          <w:p w:rsidR="005E2F24" w:rsidRDefault="002D4583">
            <w:pPr>
              <w:ind w:left="132" w:right="151"/>
              <w:jc w:val="both"/>
              <w:rPr>
                <w:rFonts w:ascii="Arial" w:eastAsia="Arial" w:hAnsi="Arial" w:cs="Arial"/>
                <w:sz w:val="20"/>
                <w:szCs w:val="20"/>
              </w:rPr>
            </w:pPr>
            <w:r>
              <w:rPr>
                <w:rFonts w:ascii="Arial" w:eastAsia="Arial" w:hAnsi="Arial" w:cs="Arial"/>
                <w:sz w:val="20"/>
                <w:szCs w:val="20"/>
              </w:rPr>
              <w:t>Es un documento suscrito entre dos o más involucrados (PNSU y Representantes del Núcleo Ejecutor) mediante el cual se acuerdan compromisos.</w:t>
            </w:r>
          </w:p>
        </w:tc>
        <w:tc>
          <w:tcPr>
            <w:tcW w:w="1843" w:type="dxa"/>
            <w:vAlign w:val="center"/>
          </w:tcPr>
          <w:p w:rsidR="005E2F24" w:rsidRDefault="002D4583">
            <w:pPr>
              <w:spacing w:before="1"/>
              <w:ind w:left="107" w:right="96"/>
              <w:jc w:val="center"/>
              <w:rPr>
                <w:rFonts w:ascii="Arial" w:eastAsia="Arial" w:hAnsi="Arial" w:cs="Arial"/>
                <w:b/>
                <w:sz w:val="20"/>
                <w:szCs w:val="20"/>
              </w:rPr>
            </w:pPr>
            <w:r>
              <w:rPr>
                <w:rFonts w:ascii="Arial" w:eastAsia="Arial" w:hAnsi="Arial" w:cs="Arial"/>
                <w:b/>
                <w:i/>
                <w:color w:val="000000"/>
                <w:sz w:val="20"/>
                <w:szCs w:val="20"/>
              </w:rPr>
              <w:t>Alfanumérico</w:t>
            </w:r>
          </w:p>
        </w:tc>
      </w:tr>
      <w:tr w:rsidR="005E2F24">
        <w:trPr>
          <w:trHeight w:val="285"/>
        </w:trPr>
        <w:tc>
          <w:tcPr>
            <w:tcW w:w="2167" w:type="dxa"/>
          </w:tcPr>
          <w:p w:rsidR="005E2F24" w:rsidRDefault="002D4583">
            <w:pPr>
              <w:ind w:left="110"/>
              <w:jc w:val="center"/>
              <w:rPr>
                <w:rFonts w:ascii="Arial" w:eastAsia="Arial" w:hAnsi="Arial" w:cs="Arial"/>
                <w:b/>
                <w:sz w:val="16"/>
                <w:szCs w:val="16"/>
              </w:rPr>
            </w:pPr>
            <w:r>
              <w:rPr>
                <w:rFonts w:ascii="Arial" w:eastAsia="Arial" w:hAnsi="Arial" w:cs="Arial"/>
                <w:b/>
                <w:sz w:val="16"/>
                <w:szCs w:val="16"/>
              </w:rPr>
              <w:lastRenderedPageBreak/>
              <w:t>MONTO_APROBADO_CONVENIO</w:t>
            </w:r>
          </w:p>
        </w:tc>
        <w:tc>
          <w:tcPr>
            <w:tcW w:w="4110" w:type="dxa"/>
          </w:tcPr>
          <w:p w:rsidR="005E2F24" w:rsidRDefault="002D4583">
            <w:pPr>
              <w:ind w:left="132" w:right="151"/>
              <w:jc w:val="both"/>
              <w:rPr>
                <w:rFonts w:ascii="Arial" w:eastAsia="Arial" w:hAnsi="Arial" w:cs="Arial"/>
                <w:sz w:val="20"/>
                <w:szCs w:val="20"/>
              </w:rPr>
            </w:pPr>
            <w:r>
              <w:rPr>
                <w:rFonts w:ascii="Arial" w:eastAsia="Arial" w:hAnsi="Arial" w:cs="Arial"/>
                <w:sz w:val="20"/>
                <w:szCs w:val="20"/>
              </w:rPr>
              <w:t>Es el monto al que asciende la inversión en el desarrollo de las obras bajo la modalidad de Núcleo Ejecutor.</w:t>
            </w:r>
          </w:p>
        </w:tc>
        <w:tc>
          <w:tcPr>
            <w:tcW w:w="1843" w:type="dxa"/>
            <w:vAlign w:val="center"/>
          </w:tcPr>
          <w:p w:rsidR="005E2F24" w:rsidRDefault="002D4583">
            <w:pPr>
              <w:spacing w:before="1"/>
              <w:ind w:left="107" w:right="96"/>
              <w:jc w:val="center"/>
              <w:rPr>
                <w:rFonts w:ascii="Arial" w:eastAsia="Arial" w:hAnsi="Arial" w:cs="Arial"/>
                <w:b/>
                <w:sz w:val="20"/>
                <w:szCs w:val="20"/>
              </w:rPr>
            </w:pPr>
            <w:r>
              <w:rPr>
                <w:rFonts w:ascii="Arial" w:eastAsia="Arial" w:hAnsi="Arial" w:cs="Arial"/>
                <w:b/>
                <w:i/>
                <w:color w:val="000000"/>
                <w:sz w:val="20"/>
                <w:szCs w:val="20"/>
              </w:rPr>
              <w:t>Numérico</w:t>
            </w:r>
          </w:p>
        </w:tc>
      </w:tr>
      <w:tr w:rsidR="005E2F24">
        <w:trPr>
          <w:trHeight w:val="405"/>
        </w:trPr>
        <w:tc>
          <w:tcPr>
            <w:tcW w:w="2167" w:type="dxa"/>
            <w:vAlign w:val="center"/>
          </w:tcPr>
          <w:p w:rsidR="005E2F24" w:rsidRDefault="002D4583">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MODALIDAD_FINANCIAMIENTO</w:t>
            </w:r>
          </w:p>
        </w:tc>
        <w:tc>
          <w:tcPr>
            <w:tcW w:w="4110" w:type="dxa"/>
            <w:vAlign w:val="center"/>
          </w:tcPr>
          <w:p w:rsidR="005E2F24" w:rsidRDefault="002D4583">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Tipo de financiamiento realizado para el desarrollo de la inversión, pudiendo ser; transferencia, por Contrata, por Obras por impuestos y a través de Núcleo Ejecutor.</w:t>
            </w:r>
          </w:p>
        </w:tc>
        <w:tc>
          <w:tcPr>
            <w:tcW w:w="1843" w:type="dxa"/>
            <w:vAlign w:val="center"/>
          </w:tcPr>
          <w:p w:rsidR="005E2F24" w:rsidRDefault="002D4583">
            <w:pPr>
              <w:spacing w:before="1"/>
              <w:ind w:left="107" w:right="96"/>
              <w:jc w:val="center"/>
              <w:rPr>
                <w:rFonts w:ascii="Arial" w:eastAsia="Arial" w:hAnsi="Arial" w:cs="Arial"/>
                <w:b/>
                <w:sz w:val="20"/>
                <w:szCs w:val="20"/>
              </w:rPr>
            </w:pPr>
            <w:r>
              <w:rPr>
                <w:rFonts w:ascii="Arial" w:eastAsia="Arial" w:hAnsi="Arial" w:cs="Arial"/>
                <w:b/>
                <w:i/>
                <w:color w:val="000000"/>
                <w:sz w:val="20"/>
                <w:szCs w:val="20"/>
              </w:rPr>
              <w:t>Alfanumérico</w:t>
            </w:r>
          </w:p>
        </w:tc>
      </w:tr>
      <w:tr w:rsidR="005E2F24">
        <w:trPr>
          <w:trHeight w:val="330"/>
        </w:trPr>
        <w:tc>
          <w:tcPr>
            <w:tcW w:w="2167" w:type="dxa"/>
            <w:vAlign w:val="center"/>
          </w:tcPr>
          <w:p w:rsidR="005E2F24" w:rsidRDefault="002D4583">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TIPO_EJECUCION</w:t>
            </w:r>
          </w:p>
        </w:tc>
        <w:tc>
          <w:tcPr>
            <w:tcW w:w="4110" w:type="dxa"/>
            <w:vAlign w:val="center"/>
          </w:tcPr>
          <w:p w:rsidR="005E2F24" w:rsidRDefault="002D4583">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Es la modalidad de contratación para la elaboración del expediente técnico o ejecución de obra.</w:t>
            </w:r>
          </w:p>
        </w:tc>
        <w:tc>
          <w:tcPr>
            <w:tcW w:w="1843" w:type="dxa"/>
            <w:vAlign w:val="center"/>
          </w:tcPr>
          <w:p w:rsidR="005E2F24" w:rsidRDefault="002D4583">
            <w:pPr>
              <w:pBdr>
                <w:top w:val="nil"/>
                <w:left w:val="nil"/>
                <w:bottom w:val="nil"/>
                <w:right w:val="nil"/>
                <w:between w:val="nil"/>
              </w:pBdr>
              <w:ind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5E2F24">
        <w:trPr>
          <w:trHeight w:val="405"/>
        </w:trPr>
        <w:tc>
          <w:tcPr>
            <w:tcW w:w="2167" w:type="dxa"/>
            <w:vAlign w:val="center"/>
          </w:tcPr>
          <w:p w:rsidR="005E2F24" w:rsidRDefault="002D4583">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ETAPA_INVERSION</w:t>
            </w:r>
          </w:p>
        </w:tc>
        <w:tc>
          <w:tcPr>
            <w:tcW w:w="4110" w:type="dxa"/>
            <w:vAlign w:val="center"/>
          </w:tcPr>
          <w:p w:rsidR="005E2F24" w:rsidRDefault="002D4583">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Es la etapa en la que se encuentra la inversión.</w:t>
            </w:r>
          </w:p>
        </w:tc>
        <w:tc>
          <w:tcPr>
            <w:tcW w:w="1843" w:type="dxa"/>
            <w:vAlign w:val="center"/>
          </w:tcPr>
          <w:p w:rsidR="005E2F24" w:rsidRDefault="002D4583">
            <w:pPr>
              <w:pBdr>
                <w:top w:val="nil"/>
                <w:left w:val="nil"/>
                <w:bottom w:val="nil"/>
                <w:right w:val="nil"/>
                <w:between w:val="nil"/>
              </w:pBdr>
              <w:ind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5E2F24">
        <w:trPr>
          <w:trHeight w:val="389"/>
        </w:trPr>
        <w:tc>
          <w:tcPr>
            <w:tcW w:w="2167" w:type="dxa"/>
            <w:vAlign w:val="center"/>
          </w:tcPr>
          <w:p w:rsidR="005E2F24" w:rsidRDefault="002D4583">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ESTADO</w:t>
            </w:r>
          </w:p>
        </w:tc>
        <w:tc>
          <w:tcPr>
            <w:tcW w:w="4110" w:type="dxa"/>
            <w:vAlign w:val="center"/>
          </w:tcPr>
          <w:p w:rsidR="005E2F24" w:rsidRDefault="002D4583">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Situación actual en la que se encuentra la inversión</w:t>
            </w:r>
          </w:p>
        </w:tc>
        <w:tc>
          <w:tcPr>
            <w:tcW w:w="1843" w:type="dxa"/>
          </w:tcPr>
          <w:p w:rsidR="005E2F24" w:rsidRDefault="002D4583">
            <w:pPr>
              <w:pBdr>
                <w:top w:val="nil"/>
                <w:left w:val="nil"/>
                <w:bottom w:val="nil"/>
                <w:right w:val="nil"/>
                <w:between w:val="nil"/>
              </w:pBdr>
              <w:ind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bl>
    <w:p w:rsidR="005E2F24" w:rsidRDefault="005E2F24">
      <w:pPr>
        <w:rPr>
          <w:rFonts w:ascii="Arial" w:eastAsia="Arial" w:hAnsi="Arial" w:cs="Arial"/>
        </w:rPr>
      </w:pPr>
    </w:p>
    <w:sectPr w:rsidR="005E2F24">
      <w:pgSz w:w="11906" w:h="16838"/>
      <w:pgMar w:top="1417" w:right="1701" w:bottom="1417" w:left="1701" w:header="708" w:footer="708"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F5E3E"/>
    <w:multiLevelType w:val="multilevel"/>
    <w:tmpl w:val="786AF2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24"/>
    <w:rsid w:val="002D4583"/>
    <w:rsid w:val="005E2F2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E6B213-3C04-44B1-866A-EEBCF9EB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s.wikipedia.org/wiki/Provincias_del_Per%C3%BA" TargetMode="External"/><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734</Words>
  <Characters>4043</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ERICK TEODORO MALDONADO CUZCANO</cp:lastModifiedBy>
  <cp:revision>2</cp:revision>
  <dcterms:created xsi:type="dcterms:W3CDTF">2021-07-23T17:06:00Z</dcterms:created>
  <dcterms:modified xsi:type="dcterms:W3CDTF">2021-07-23T17:07:00Z</dcterms:modified>
</cp:coreProperties>
</file>