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4"/>
          <w:szCs w:val="24"/>
          <w:u w:val="single"/>
        </w:rPr>
      </w:pPr>
      <w:r>
        <w:rPr>
          <w:rFonts w:cs="Arial" w:cstheme="majorHAnsi"/>
          <w:b/>
          <w:bCs/>
          <w:sz w:val="24"/>
          <w:szCs w:val="24"/>
          <w:u w:val="single"/>
        </w:rPr>
        <w:t>METADATOS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Metadatos del dataset: 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</w:t>
      </w:r>
      <w:r>
        <w:rPr>
          <w:rFonts w:cs="Arial" w:cstheme="majorHAns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Frecuencia de visitas turísticas en las Áreas Naturales Protegidas por el estado – [Servicio Nacional de Áreas Naturales Protegidas por el Estado – SERNANP]</w:t>
      </w:r>
    </w:p>
    <w:p>
      <w:pPr>
        <w:pStyle w:val="Normal"/>
        <w:rPr>
          <w:rFonts w:ascii="Arial" w:hAnsi="Arial" w:cs="Arial" w:asciiTheme="majorHAnsi" w:cstheme="majorHAnsi" w:hAnsiTheme="majorHAnsi"/>
          <w:vanish/>
        </w:rPr>
      </w:pPr>
      <w:r>
        <w:rPr>
          <w:rFonts w:cs="Arial" w:cstheme="majorHAnsi"/>
          <w:vanish/>
        </w:rPr>
      </w:r>
    </w:p>
    <w:p>
      <w:pPr>
        <w:pStyle w:val="Normal"/>
        <w:rPr>
          <w:rFonts w:ascii="Arial" w:hAnsi="Arial" w:cs="Arial" w:asciiTheme="majorHAnsi" w:cstheme="majorHAnsi" w:hAnsiTheme="majorHAnsi"/>
          <w:vanish/>
        </w:rPr>
      </w:pPr>
      <w:r>
        <w:rPr>
          <w:rFonts w:cs="Arial" w:cstheme="majorHAnsi"/>
        </w:rPr>
        <w:t xml:space="preserve"> 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 </w:t>
      </w:r>
    </w:p>
    <w:tbl>
      <w:tblPr>
        <w:tblStyle w:val="Tablaconcuadrcu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7484"/>
      </w:tblGrid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Frecuencia de visitas turísticas en las Áreas Naturales Protegidas por el estado – [Servicio Nacional de Áreas Naturales Protegidas por el Estado – SERNANP]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 URL Descripción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https://www.datosabiertos.gob.pe/dataset/frecuencia-de-visitas-tur%C3%ADsticas-en-las-%C3%A1reas-naturales-protegidas-por-el-estado-%E2%80%93-servicio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Arial" w:cstheme="majorHAnsi"/>
                <w:sz w:val="22"/>
                <w:highlight w:val="none"/>
                <w:shd w:fill="auto" w:val="clear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shd w:fill="auto" w:val="clear"/>
                <w:lang w:val="es-MX" w:eastAsia="en-US" w:bidi="ar-SA"/>
              </w:rPr>
              <w:t>Descripción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Cada registro representa el número o frecuencia de  la visita turísticas en las Áreas Naturales Protegidas a nivel Nacional.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Recopila información de la procedencia de turistas y frecuencia de visitas durante todo el año.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sz w:val="22"/>
                <w:highlight w:val="none"/>
                <w:shd w:fill="auto" w:val="clear"/>
              </w:rPr>
            </w:pPr>
            <w:r>
              <w:rPr>
                <w:rFonts w:cs="Arial" w:cstheme="majorHAnsi"/>
                <w:sz w:val="22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Arial" w:cstheme="majorHAnsi"/>
                <w:sz w:val="22"/>
                <w:shd w:fill="auto" w:val="clear"/>
              </w:rPr>
              <w:t>SENANP tiene en total 77 Áreas Naturales Protegidas de administración Nacional de los cuales 3</w:t>
            </w:r>
            <w:r>
              <w:rPr>
                <w:rFonts w:cs="Arial" w:cstheme="majorHAnsi"/>
                <w:sz w:val="22"/>
                <w:shd w:fill="auto" w:val="clear"/>
              </w:rPr>
              <w:t>6</w:t>
            </w:r>
            <w:r>
              <w:rPr>
                <w:rFonts w:cs="Arial" w:cstheme="majorHAnsi"/>
                <w:sz w:val="22"/>
                <w:shd w:fill="auto" w:val="clear"/>
              </w:rPr>
              <w:t xml:space="preserve"> reportan actividades turísticas.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sz w:val="22"/>
                <w:highlight w:val="none"/>
                <w:shd w:fill="auto" w:val="clear"/>
              </w:rPr>
            </w:pPr>
            <w:r>
              <w:rPr>
                <w:rFonts w:cs="Arial" w:cstheme="majorHAnsi"/>
                <w:sz w:val="22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La dataset est</w:t>
            </w:r>
            <w:r>
              <w:rPr>
                <w:rFonts w:cs="Arial" w:cstheme="majorHAnsi"/>
                <w:sz w:val="22"/>
                <w:lang w:val="es-PE"/>
              </w:rPr>
              <w:t>á</w:t>
            </w:r>
            <w:r>
              <w:rPr>
                <w:rFonts w:cs="Arial" w:cstheme="majorHAnsi"/>
                <w:sz w:val="22"/>
              </w:rPr>
              <w:t xml:space="preserve"> caracterizado por: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Datos de Área Natural Protegida: Nombre, Sector, Departamento, Provincia y Distrito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Datos de turista: Procedencia, grupo de edad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Frecuencia de visitas: Fecha de la visita, Estadía 1 día de 2 a 3 días y 3 a 30 días.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Entidad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Servicio Nacional de Áreas Naturales Protegidas por el Estado – [SERNANP]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Fuente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Unidad Operativa Funcional de Gestión de Turismo de la Dirección de Gestión de las Áreas Naturales Protegidas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PE" w:eastAsia="en-US" w:bidi="ar-SA"/>
              </w:rPr>
              <w:t>Etiquetas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Turismo, Área Natural Protegida, Visitas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Fecha de creación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2024-05-17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Frecuencia de actualización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  <w:t>Mensual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Última actualización</w:t>
            </w:r>
          </w:p>
        </w:tc>
        <w:tc>
          <w:tcPr>
            <w:tcW w:w="74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2024-05-17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Versión</w:t>
            </w:r>
          </w:p>
        </w:tc>
        <w:tc>
          <w:tcPr>
            <w:tcW w:w="74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lang w:val="en-GB"/>
              </w:rPr>
            </w:pPr>
            <w:r>
              <w:rPr>
                <w:rFonts w:cs="Arial" w:cstheme="majorHAnsi"/>
                <w:sz w:val="22"/>
                <w:lang w:val="en-GB"/>
              </w:rPr>
              <w:t>1.0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Licencia</w:t>
            </w:r>
          </w:p>
        </w:tc>
        <w:tc>
          <w:tcPr>
            <w:tcW w:w="74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hyperlink r:id="rId2">
              <w:r>
                <w:rPr>
                  <w:rStyle w:val="Hyperlink"/>
                  <w:rFonts w:eastAsia="Arial" w:cs="Arial" w:cstheme="majorHAnsi"/>
                  <w:color w:val="0A77BD"/>
                  <w:kern w:val="2"/>
                  <w:sz w:val="22"/>
                  <w:szCs w:val="22"/>
                  <w:lang w:val="en-US" w:eastAsia="en-US" w:bidi="ar-SA"/>
                </w:rPr>
                <w:t>Open Data Commons Attribution License</w:t>
              </w:r>
            </w:hyperlink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Idioma</w:t>
            </w:r>
          </w:p>
        </w:tc>
        <w:tc>
          <w:tcPr>
            <w:tcW w:w="74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Español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Nivel de acceso público</w:t>
            </w:r>
          </w:p>
        </w:tc>
        <w:tc>
          <w:tcPr>
            <w:tcW w:w="74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Público</w:t>
            </w:r>
          </w:p>
        </w:tc>
      </w:tr>
      <w:tr>
        <w:trPr/>
        <w:tc>
          <w:tcPr>
            <w:tcW w:w="2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Tipo de recurso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Dataset</w:t>
            </w:r>
          </w:p>
        </w:tc>
      </w:tr>
      <w:tr>
        <w:trPr/>
        <w:tc>
          <w:tcPr>
            <w:tcW w:w="2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b/>
                <w:bCs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lang w:val="es-PE" w:eastAsia="en-US" w:bidi="ar-SA"/>
              </w:rPr>
              <w:t>Formato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CSV</w:t>
            </w:r>
          </w:p>
        </w:tc>
      </w:tr>
      <w:tr>
        <w:trPr/>
        <w:tc>
          <w:tcPr>
            <w:tcW w:w="2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shd w:fill="auto" w:val="clear"/>
                <w:lang w:val="es-MX" w:eastAsia="en-US" w:bidi="ar-SA"/>
              </w:rPr>
              <w:t>Cobertura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Arial" w:cstheme="majorHAnsi"/>
                <w:sz w:val="22"/>
                <w:shd w:fill="auto" w:val="clear"/>
                <w:lang w:val="en-GB"/>
              </w:rPr>
              <w:t>Perú, 202</w:t>
            </w:r>
            <w:r>
              <w:rPr>
                <w:rFonts w:cs="Arial" w:cstheme="majorHAnsi"/>
                <w:sz w:val="22"/>
                <w:shd w:fill="auto" w:val="clear"/>
                <w:lang w:val="en-GB"/>
              </w:rPr>
              <w:t>2</w:t>
            </w:r>
            <w:r>
              <w:rPr>
                <w:rFonts w:cs="Arial" w:cstheme="majorHAnsi"/>
                <w:sz w:val="22"/>
                <w:shd w:fill="auto" w:val="clear"/>
                <w:lang w:val="en-GB"/>
              </w:rPr>
              <w:t xml:space="preserve"> - 202</w:t>
            </w:r>
            <w:r>
              <w:rPr>
                <w:rFonts w:cs="Arial" w:cstheme="majorHAnsi"/>
                <w:sz w:val="22"/>
                <w:shd w:fill="auto" w:val="clear"/>
                <w:lang w:val="en-GB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29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shd w:fill="auto" w:val="clear"/>
                <w:lang w:val="es-PE" w:eastAsia="en-US" w:bidi="ar-SA"/>
              </w:rPr>
              <w:t>Correo de contacto</w:t>
            </w:r>
          </w:p>
        </w:tc>
        <w:tc>
          <w:tcPr>
            <w:tcW w:w="7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Arial" w:cstheme="majorHAnsi"/>
                <w:sz w:val="22"/>
                <w:shd w:fill="auto" w:val="clear"/>
              </w:rPr>
              <w:t>rloayzaf</w:t>
            </w:r>
            <w:r>
              <w:rPr>
                <w:rFonts w:cs="Arial" w:cstheme="majorHAnsi"/>
                <w:sz w:val="22"/>
                <w:shd w:fill="auto" w:val="clear"/>
                <w:lang w:val="en-GB"/>
              </w:rPr>
              <w:t>@sernanp.gob.pe</w:t>
            </w:r>
          </w:p>
        </w:tc>
      </w:tr>
    </w:tbl>
    <w:p>
      <w:pPr>
        <w:pStyle w:val="Normal"/>
        <w:spacing w:before="0" w:after="160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s-P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s-P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9f0ca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f0ca5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pendefinition.org/licenses/odc-by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LibreOffice/7.6.4.1$Windows_X86_64 LibreOffice_project/e19e193f88cd6c0525a17fb7a176ed8e6a3e2aa1</Application>
  <AppVersion>15.0000</AppVersion>
  <Pages>1</Pages>
  <Words>228</Words>
  <Characters>1472</Characters>
  <CharactersWithSpaces>1666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  <dc:description/>
  <dc:language>en-GB</dc:language>
  <cp:lastModifiedBy/>
  <dcterms:modified xsi:type="dcterms:W3CDTF">2024-05-27T16:47:15Z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